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color w:val="auto"/>
          <w:sz w:val="36"/>
          <w:szCs w:val="36"/>
        </w:rPr>
      </w:pPr>
      <w:bookmarkStart w:id="0" w:name="_Toc503279937"/>
      <w:bookmarkStart w:id="1" w:name="_Toc504125237"/>
      <w:bookmarkStart w:id="2" w:name="_Toc503357917"/>
      <w:r>
        <w:rPr>
          <w:rFonts w:hint="eastAsia"/>
          <w:b/>
          <w:color w:val="auto"/>
          <w:sz w:val="36"/>
          <w:szCs w:val="36"/>
        </w:rPr>
        <w:t>谈判邀请</w:t>
      </w:r>
      <w:bookmarkEnd w:id="0"/>
      <w:bookmarkEnd w:id="1"/>
      <w:bookmarkEnd w:id="2"/>
    </w:p>
    <w:p>
      <w:pPr>
        <w:spacing w:line="360" w:lineRule="auto"/>
        <w:ind w:firstLine="480" w:firstLineChars="200"/>
        <w:contextualSpacing/>
        <w:rPr>
          <w:rFonts w:hint="eastAsia"/>
          <w:color w:val="auto"/>
          <w:sz w:val="24"/>
          <w:highlight w:val="none"/>
        </w:rPr>
      </w:pPr>
      <w:r>
        <w:rPr>
          <w:rFonts w:hint="eastAsia" w:ascii="Times New Roman" w:hAnsi="宋体"/>
          <w:snapToGrid w:val="0"/>
          <w:color w:val="auto"/>
          <w:kern w:val="0"/>
          <w:sz w:val="24"/>
          <w:szCs w:val="20"/>
          <w:u w:val="single"/>
          <w:lang w:val="en-US" w:eastAsia="zh-CN"/>
        </w:rPr>
        <w:t>四川省乐至县中医</w:t>
      </w:r>
      <w:r>
        <w:rPr>
          <w:rFonts w:hint="eastAsia" w:ascii="Times New Roman" w:hAnsi="宋体"/>
          <w:color w:val="auto"/>
          <w:sz w:val="24"/>
          <w:szCs w:val="24"/>
          <w:highlight w:val="none"/>
          <w:u w:val="single"/>
          <w:lang w:eastAsia="zh-CN"/>
        </w:rPr>
        <w:t>医院</w:t>
      </w:r>
      <w:r>
        <w:rPr>
          <w:rFonts w:ascii="Times New Roman" w:hAnsi="宋体"/>
          <w:snapToGrid w:val="0"/>
          <w:color w:val="auto"/>
          <w:kern w:val="0"/>
          <w:sz w:val="24"/>
          <w:szCs w:val="20"/>
        </w:rPr>
        <w:t>（以下简称</w:t>
      </w:r>
      <w:r>
        <w:rPr>
          <w:rFonts w:ascii="Times New Roman" w:hAnsi="Times New Roman"/>
          <w:snapToGrid w:val="0"/>
          <w:color w:val="auto"/>
          <w:kern w:val="0"/>
          <w:sz w:val="24"/>
          <w:szCs w:val="20"/>
        </w:rPr>
        <w:t>“</w:t>
      </w:r>
      <w:r>
        <w:rPr>
          <w:rFonts w:ascii="Times New Roman" w:hAnsi="宋体"/>
          <w:snapToGrid w:val="0"/>
          <w:color w:val="auto"/>
          <w:kern w:val="0"/>
          <w:sz w:val="24"/>
          <w:szCs w:val="20"/>
          <w:highlight w:val="none"/>
        </w:rPr>
        <w:t>采购人</w:t>
      </w:r>
      <w:r>
        <w:rPr>
          <w:rFonts w:ascii="Times New Roman" w:hAnsi="Times New Roman"/>
          <w:snapToGrid w:val="0"/>
          <w:color w:val="auto"/>
          <w:kern w:val="0"/>
          <w:sz w:val="24"/>
          <w:szCs w:val="20"/>
          <w:highlight w:val="none"/>
        </w:rPr>
        <w:t>”</w:t>
      </w:r>
      <w:r>
        <w:rPr>
          <w:rFonts w:ascii="Times New Roman" w:hAnsi="宋体"/>
          <w:snapToGrid w:val="0"/>
          <w:color w:val="auto"/>
          <w:kern w:val="0"/>
          <w:sz w:val="24"/>
          <w:szCs w:val="20"/>
          <w:highlight w:val="none"/>
        </w:rPr>
        <w:t>），依据《中华人民共和国政府采购法》等有关规定，</w:t>
      </w:r>
      <w:r>
        <w:rPr>
          <w:rFonts w:hint="eastAsia" w:hAnsi="宋体"/>
          <w:color w:val="auto"/>
          <w:kern w:val="2"/>
          <w:sz w:val="24"/>
          <w:szCs w:val="24"/>
          <w:highlight w:val="none"/>
        </w:rPr>
        <w:t>拟通过</w:t>
      </w:r>
      <w:r>
        <w:rPr>
          <w:rFonts w:hint="eastAsia" w:hAnsi="宋体"/>
          <w:i w:val="0"/>
          <w:iCs w:val="0"/>
          <w:color w:val="auto"/>
          <w:kern w:val="2"/>
          <w:sz w:val="24"/>
          <w:szCs w:val="24"/>
          <w:highlight w:val="none"/>
          <w:u w:val="none"/>
        </w:rPr>
        <w:t>竞争性谈判</w:t>
      </w:r>
      <w:r>
        <w:rPr>
          <w:rFonts w:hint="eastAsia" w:hAnsi="宋体"/>
          <w:color w:val="auto"/>
          <w:kern w:val="2"/>
          <w:sz w:val="24"/>
          <w:szCs w:val="24"/>
          <w:highlight w:val="none"/>
        </w:rPr>
        <w:t>方式确定</w:t>
      </w:r>
      <w:r>
        <w:rPr>
          <w:rFonts w:hint="eastAsia" w:ascii="Times New Roman" w:hAnsi="宋体" w:eastAsia="宋体" w:cs="Times New Roman"/>
          <w:color w:val="auto"/>
          <w:kern w:val="2"/>
          <w:sz w:val="24"/>
          <w:szCs w:val="24"/>
          <w:highlight w:val="none"/>
          <w:lang w:eastAsia="zh-CN"/>
        </w:rPr>
        <w:t>除颤仪</w:t>
      </w:r>
      <w:r>
        <w:rPr>
          <w:rFonts w:hint="eastAsia" w:ascii="宋体" w:hAnsi="宋体" w:eastAsia="宋体" w:cs="方正姚体"/>
          <w:b w:val="0"/>
          <w:bCs w:val="0"/>
          <w:color w:val="auto"/>
          <w:sz w:val="24"/>
          <w:szCs w:val="24"/>
          <w:highlight w:val="none"/>
          <w:u w:val="none"/>
          <w:lang w:val="en-US" w:eastAsia="zh-CN"/>
        </w:rPr>
        <w:t>的</w:t>
      </w:r>
      <w:r>
        <w:rPr>
          <w:rFonts w:hint="eastAsia" w:hAnsi="宋体" w:eastAsia="宋体" w:cs="Times New Roman"/>
          <w:b w:val="0"/>
          <w:bCs w:val="0"/>
          <w:color w:val="auto"/>
          <w:kern w:val="2"/>
          <w:sz w:val="24"/>
          <w:szCs w:val="24"/>
          <w:highlight w:val="none"/>
          <w:lang w:eastAsia="zh-CN"/>
        </w:rPr>
        <w:t>供</w:t>
      </w:r>
      <w:r>
        <w:rPr>
          <w:rFonts w:hint="eastAsia" w:hAnsi="宋体" w:eastAsia="宋体" w:cs="Times New Roman"/>
          <w:color w:val="auto"/>
          <w:kern w:val="2"/>
          <w:sz w:val="24"/>
          <w:szCs w:val="24"/>
          <w:highlight w:val="none"/>
          <w:lang w:eastAsia="zh-CN"/>
        </w:rPr>
        <w:t>应</w:t>
      </w:r>
      <w:r>
        <w:rPr>
          <w:rFonts w:hint="eastAsia" w:hAnsi="宋体" w:eastAsia="宋体" w:cs="Times New Roman"/>
          <w:color w:val="auto"/>
          <w:kern w:val="2"/>
          <w:sz w:val="24"/>
          <w:szCs w:val="24"/>
          <w:highlight w:val="none"/>
        </w:rPr>
        <w:t>单位</w:t>
      </w:r>
      <w:r>
        <w:rPr>
          <w:rFonts w:ascii="Times New Roman" w:hAnsi="宋体"/>
          <w:snapToGrid w:val="0"/>
          <w:color w:val="auto"/>
          <w:kern w:val="0"/>
          <w:sz w:val="24"/>
          <w:szCs w:val="20"/>
          <w:highlight w:val="none"/>
        </w:rPr>
        <w:t>，</w:t>
      </w:r>
      <w:r>
        <w:rPr>
          <w:rFonts w:ascii="Times New Roman" w:hAnsi="宋体"/>
          <w:color w:val="auto"/>
          <w:sz w:val="24"/>
          <w:szCs w:val="20"/>
          <w:highlight w:val="none"/>
        </w:rPr>
        <w:t>兹邀请符合要求的供应商参加本次采购谈判</w:t>
      </w:r>
      <w:r>
        <w:rPr>
          <w:rFonts w:hint="eastAsia"/>
          <w:color w:val="auto"/>
          <w:sz w:val="24"/>
          <w:highlight w:val="none"/>
        </w:rPr>
        <w:t>。</w:t>
      </w:r>
    </w:p>
    <w:p>
      <w:pPr>
        <w:spacing w:line="360" w:lineRule="auto"/>
        <w:contextualSpacing/>
        <w:rPr>
          <w:rFonts w:hint="eastAsia"/>
          <w:b/>
          <w:color w:val="auto"/>
          <w:sz w:val="24"/>
          <w:highlight w:val="none"/>
        </w:rPr>
      </w:pPr>
      <w:r>
        <w:rPr>
          <w:rFonts w:hint="eastAsia"/>
          <w:b/>
          <w:color w:val="auto"/>
          <w:sz w:val="24"/>
          <w:highlight w:val="none"/>
        </w:rPr>
        <w:t>一、采购项目基本情况：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ascii="Times New Roman" w:hAnsi="宋体" w:eastAsia="宋体" w:cs="Times New Roman"/>
          <w:color w:val="auto"/>
          <w:sz w:val="24"/>
          <w:szCs w:val="20"/>
          <w:highlight w:val="none"/>
        </w:rPr>
      </w:pPr>
      <w:r>
        <w:rPr>
          <w:rFonts w:hint="eastAsia" w:ascii="Times New Roman" w:hAnsi="宋体"/>
          <w:bCs/>
          <w:color w:val="auto"/>
          <w:kern w:val="0"/>
          <w:sz w:val="24"/>
          <w:szCs w:val="20"/>
          <w:highlight w:val="none"/>
          <w:lang w:val="en-US" w:eastAsia="zh-CN"/>
        </w:rPr>
        <w:t>1、</w:t>
      </w:r>
      <w:r>
        <w:rPr>
          <w:rFonts w:ascii="Times New Roman" w:hAnsi="宋体"/>
          <w:bCs/>
          <w:color w:val="auto"/>
          <w:kern w:val="0"/>
          <w:sz w:val="24"/>
          <w:szCs w:val="20"/>
          <w:highlight w:val="none"/>
        </w:rPr>
        <w:t>项目</w:t>
      </w:r>
      <w:r>
        <w:rPr>
          <w:rFonts w:hint="eastAsia" w:ascii="Times New Roman" w:hAnsi="宋体"/>
          <w:bCs/>
          <w:color w:val="auto"/>
          <w:kern w:val="0"/>
          <w:sz w:val="24"/>
          <w:szCs w:val="20"/>
          <w:highlight w:val="none"/>
          <w:lang w:val="en-US" w:eastAsia="zh-CN"/>
        </w:rPr>
        <w:t>名称</w:t>
      </w:r>
      <w:r>
        <w:rPr>
          <w:rFonts w:ascii="Times New Roman" w:hAnsi="宋体"/>
          <w:bCs/>
          <w:color w:val="auto"/>
          <w:kern w:val="0"/>
          <w:sz w:val="24"/>
          <w:szCs w:val="20"/>
          <w:highlight w:val="none"/>
        </w:rPr>
        <w:t>：</w:t>
      </w:r>
      <w:r>
        <w:rPr>
          <w:rFonts w:hint="eastAsia" w:hAnsi="宋体"/>
          <w:bCs/>
          <w:color w:val="auto"/>
          <w:kern w:val="2"/>
          <w:sz w:val="24"/>
          <w:szCs w:val="24"/>
          <w:highlight w:val="none"/>
          <w:lang w:eastAsia="zh-CN"/>
        </w:rPr>
        <w:t>乐至县中医医</w:t>
      </w:r>
      <w:r>
        <w:rPr>
          <w:rFonts w:hint="eastAsia" w:hAnsi="宋体"/>
          <w:b w:val="0"/>
          <w:bCs/>
          <w:color w:val="auto"/>
          <w:kern w:val="2"/>
          <w:sz w:val="24"/>
          <w:szCs w:val="24"/>
          <w:highlight w:val="none"/>
          <w:lang w:eastAsia="zh-CN"/>
        </w:rPr>
        <w:t>院</w:t>
      </w:r>
      <w:r>
        <w:rPr>
          <w:rFonts w:hint="eastAsia" w:ascii="Times New Roman" w:hAnsi="宋体" w:eastAsia="宋体" w:cs="Times New Roman"/>
          <w:color w:val="auto"/>
          <w:kern w:val="2"/>
          <w:sz w:val="24"/>
          <w:szCs w:val="24"/>
          <w:highlight w:val="none"/>
          <w:lang w:eastAsia="zh-CN"/>
        </w:rPr>
        <w:t>除颤仪</w:t>
      </w:r>
      <w:r>
        <w:rPr>
          <w:rFonts w:hint="eastAsia" w:hAnsi="宋体" w:eastAsia="宋体" w:cs="Times New Roman"/>
          <w:b w:val="0"/>
          <w:bCs/>
          <w:color w:val="auto"/>
          <w:kern w:val="2"/>
          <w:sz w:val="24"/>
          <w:szCs w:val="24"/>
          <w:highlight w:val="none"/>
          <w:lang w:eastAsia="zh-CN"/>
        </w:rPr>
        <w:t>采购</w:t>
      </w:r>
      <w:r>
        <w:rPr>
          <w:rFonts w:hint="eastAsia" w:hAnsi="宋体" w:eastAsia="宋体" w:cs="Times New Roman"/>
          <w:color w:val="auto"/>
          <w:kern w:val="2"/>
          <w:sz w:val="24"/>
          <w:szCs w:val="24"/>
          <w:highlight w:val="none"/>
          <w:lang w:val="en-US" w:eastAsia="zh-CN"/>
        </w:rPr>
        <w:t>项目</w:t>
      </w:r>
      <w:r>
        <w:rPr>
          <w:rFonts w:ascii="Times New Roman" w:hAnsi="宋体"/>
          <w:bCs/>
          <w:snapToGrid w:val="0"/>
          <w:color w:val="auto"/>
          <w:kern w:val="0"/>
          <w:sz w:val="24"/>
          <w:szCs w:val="2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jc w:val="left"/>
        <w:textAlignment w:val="auto"/>
        <w:rPr>
          <w:rFonts w:ascii="Times New Roman" w:hAnsi="宋体" w:eastAsia="宋体" w:cs="Times New Roman"/>
          <w:b/>
          <w:bCs/>
          <w:color w:val="auto"/>
          <w:sz w:val="24"/>
          <w:szCs w:val="20"/>
          <w:highlight w:val="none"/>
        </w:rPr>
      </w:pPr>
      <w:r>
        <w:rPr>
          <w:rFonts w:hint="eastAsia" w:ascii="Times New Roman" w:hAnsi="宋体" w:eastAsia="宋体" w:cs="Times New Roman"/>
          <w:b/>
          <w:bCs/>
          <w:color w:val="auto"/>
          <w:sz w:val="24"/>
          <w:szCs w:val="20"/>
          <w:highlight w:val="none"/>
          <w:lang w:val="en-US" w:eastAsia="zh-CN"/>
        </w:rPr>
        <w:t>2、</w:t>
      </w:r>
      <w:r>
        <w:rPr>
          <w:rFonts w:ascii="Times New Roman" w:hAnsi="宋体" w:eastAsia="宋体" w:cs="Times New Roman"/>
          <w:b/>
          <w:bCs/>
          <w:color w:val="auto"/>
          <w:sz w:val="24"/>
          <w:szCs w:val="20"/>
          <w:highlight w:val="none"/>
        </w:rPr>
        <w:t>项目内容：</w:t>
      </w:r>
    </w:p>
    <w:tbl>
      <w:tblPr>
        <w:tblStyle w:val="8"/>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442"/>
        <w:gridCol w:w="1049"/>
        <w:gridCol w:w="1036"/>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7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highlight w:val="none"/>
                <w:lang w:val="en-US" w:eastAsia="zh-CN" w:bidi="ar-SA"/>
              </w:rPr>
            </w:pPr>
            <w:r>
              <w:rPr>
                <w:rFonts w:hint="default" w:ascii="Times New Roman" w:hAnsi="宋体" w:eastAsia="宋体" w:cs="Times New Roman"/>
                <w:b/>
                <w:bCs w:val="0"/>
                <w:color w:val="auto"/>
                <w:kern w:val="2"/>
                <w:sz w:val="24"/>
                <w:szCs w:val="24"/>
                <w:highlight w:val="none"/>
                <w:lang w:val="en-US" w:eastAsia="zh-CN" w:bidi="ar-SA"/>
              </w:rPr>
              <w:t>序号</w:t>
            </w:r>
          </w:p>
        </w:tc>
        <w:tc>
          <w:tcPr>
            <w:tcW w:w="2442"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highlight w:val="none"/>
                <w:lang w:val="en-US" w:eastAsia="zh-CN" w:bidi="ar-SA"/>
              </w:rPr>
            </w:pPr>
            <w:r>
              <w:rPr>
                <w:rFonts w:hint="default" w:ascii="Times New Roman" w:hAnsi="宋体" w:eastAsia="宋体" w:cs="Times New Roman"/>
                <w:b/>
                <w:bCs w:val="0"/>
                <w:color w:val="auto"/>
                <w:kern w:val="2"/>
                <w:sz w:val="24"/>
                <w:szCs w:val="24"/>
                <w:highlight w:val="none"/>
                <w:lang w:val="en-US" w:eastAsia="zh-CN" w:bidi="ar-SA"/>
              </w:rPr>
              <w:t>名称</w:t>
            </w:r>
          </w:p>
        </w:tc>
        <w:tc>
          <w:tcPr>
            <w:tcW w:w="104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highlight w:val="none"/>
                <w:lang w:val="en-US" w:eastAsia="zh-CN" w:bidi="ar-SA"/>
              </w:rPr>
            </w:pPr>
            <w:r>
              <w:rPr>
                <w:rFonts w:hint="eastAsia" w:hAnsi="宋体" w:eastAsia="宋体" w:cs="Times New Roman"/>
                <w:b/>
                <w:bCs w:val="0"/>
                <w:color w:val="auto"/>
                <w:kern w:val="2"/>
                <w:sz w:val="24"/>
                <w:szCs w:val="24"/>
                <w:highlight w:val="none"/>
                <w:lang w:val="en-US" w:eastAsia="zh-CN" w:bidi="ar-SA"/>
              </w:rPr>
              <w:t>数</w:t>
            </w:r>
            <w:r>
              <w:rPr>
                <w:rFonts w:hint="default" w:ascii="Times New Roman" w:hAnsi="宋体" w:eastAsia="宋体" w:cs="Times New Roman"/>
                <w:b/>
                <w:bCs w:val="0"/>
                <w:color w:val="auto"/>
                <w:kern w:val="2"/>
                <w:sz w:val="24"/>
                <w:szCs w:val="24"/>
                <w:highlight w:val="none"/>
                <w:lang w:val="en-US" w:eastAsia="zh-CN" w:bidi="ar-SA"/>
              </w:rPr>
              <w:t>量</w:t>
            </w:r>
          </w:p>
        </w:tc>
        <w:tc>
          <w:tcPr>
            <w:tcW w:w="103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hAnsi="宋体" w:eastAsia="宋体" w:cs="Times New Roman"/>
                <w:b/>
                <w:bCs w:val="0"/>
                <w:color w:val="auto"/>
                <w:kern w:val="2"/>
                <w:sz w:val="24"/>
                <w:szCs w:val="24"/>
                <w:highlight w:val="none"/>
                <w:lang w:val="en-US" w:eastAsia="zh-CN" w:bidi="ar-SA"/>
              </w:rPr>
            </w:pPr>
            <w:r>
              <w:rPr>
                <w:rFonts w:hint="eastAsia" w:hAnsi="宋体" w:eastAsia="宋体" w:cs="Times New Roman"/>
                <w:b/>
                <w:bCs w:val="0"/>
                <w:color w:val="auto"/>
                <w:kern w:val="2"/>
                <w:sz w:val="24"/>
                <w:szCs w:val="24"/>
                <w:highlight w:val="none"/>
                <w:lang w:val="en-US" w:eastAsia="zh-CN" w:bidi="ar-SA"/>
              </w:rPr>
              <w:t>单位</w:t>
            </w:r>
          </w:p>
        </w:tc>
        <w:tc>
          <w:tcPr>
            <w:tcW w:w="242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highlight w:val="none"/>
                <w:lang w:val="en-US" w:eastAsia="zh-CN" w:bidi="ar-SA"/>
              </w:rPr>
            </w:pPr>
            <w:r>
              <w:rPr>
                <w:rFonts w:hint="eastAsia" w:ascii="Times New Roman" w:hAnsi="宋体" w:eastAsia="宋体" w:cs="Times New Roman"/>
                <w:b/>
                <w:bCs w:val="0"/>
                <w:color w:val="auto"/>
                <w:kern w:val="2"/>
                <w:sz w:val="24"/>
                <w:szCs w:val="24"/>
                <w:highlight w:val="none"/>
                <w:lang w:val="en-US" w:eastAsia="zh-CN" w:bidi="ar-SA"/>
              </w:rPr>
              <w:t>预算价</w:t>
            </w:r>
            <w:r>
              <w:rPr>
                <w:rFonts w:hint="eastAsia" w:hAnsi="宋体" w:eastAsia="宋体" w:cs="Times New Roman"/>
                <w:b/>
                <w:bCs w:val="0"/>
                <w:color w:val="auto"/>
                <w:kern w:val="2"/>
                <w:sz w:val="24"/>
                <w:szCs w:val="24"/>
                <w:highlight w:val="none"/>
                <w:lang w:val="en-US" w:eastAsia="zh-CN" w:bidi="ar-SA"/>
              </w:rPr>
              <w:t>格</w:t>
            </w:r>
            <w:r>
              <w:rPr>
                <w:rFonts w:hint="eastAsia" w:ascii="Times New Roman" w:hAnsi="宋体" w:eastAsia="宋体" w:cs="Times New Roman"/>
                <w:b/>
                <w:bCs w:val="0"/>
                <w:color w:val="auto"/>
                <w:kern w:val="2"/>
                <w:sz w:val="24"/>
                <w:szCs w:val="24"/>
                <w:highlight w:val="none"/>
                <w:lang w:val="en-US" w:eastAsia="zh-CN" w:bidi="ar-SA"/>
              </w:rPr>
              <w:t>（</w:t>
            </w:r>
            <w:r>
              <w:rPr>
                <w:rFonts w:hint="eastAsia" w:hAnsi="宋体" w:eastAsia="宋体" w:cs="Times New Roman"/>
                <w:b/>
                <w:bCs w:val="0"/>
                <w:color w:val="auto"/>
                <w:kern w:val="2"/>
                <w:sz w:val="24"/>
                <w:szCs w:val="24"/>
                <w:highlight w:val="none"/>
                <w:lang w:val="en-US" w:eastAsia="zh-CN" w:bidi="ar-SA"/>
              </w:rPr>
              <w:t>万</w:t>
            </w:r>
            <w:r>
              <w:rPr>
                <w:rFonts w:hint="eastAsia" w:ascii="Times New Roman" w:hAnsi="宋体" w:eastAsia="宋体" w:cs="Times New Roman"/>
                <w:b/>
                <w:bC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7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highlight w:val="none"/>
                <w:lang w:val="en-US" w:eastAsia="zh-CN" w:bidi="ar-SA"/>
              </w:rPr>
            </w:pPr>
            <w:r>
              <w:rPr>
                <w:rFonts w:hint="default" w:ascii="Times New Roman" w:hAnsi="宋体" w:eastAsia="宋体" w:cs="Times New Roman"/>
                <w:bCs/>
                <w:color w:val="auto"/>
                <w:kern w:val="2"/>
                <w:sz w:val="24"/>
                <w:szCs w:val="24"/>
                <w:highlight w:val="none"/>
                <w:lang w:val="en-US" w:eastAsia="zh-CN" w:bidi="ar-SA"/>
              </w:rPr>
              <w:t>1</w:t>
            </w:r>
          </w:p>
        </w:tc>
        <w:tc>
          <w:tcPr>
            <w:tcW w:w="2442"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eastAsia="zh-CN"/>
              </w:rPr>
              <w:t>体外除颤监护仪</w:t>
            </w:r>
          </w:p>
        </w:tc>
        <w:tc>
          <w:tcPr>
            <w:tcW w:w="104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1</w:t>
            </w:r>
          </w:p>
        </w:tc>
        <w:tc>
          <w:tcPr>
            <w:tcW w:w="103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台</w:t>
            </w:r>
          </w:p>
        </w:tc>
        <w:tc>
          <w:tcPr>
            <w:tcW w:w="242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7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2</w:t>
            </w:r>
          </w:p>
        </w:tc>
        <w:tc>
          <w:tcPr>
            <w:tcW w:w="2442"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宋体" w:eastAsia="宋体" w:cs="Times New Roman"/>
                <w:color w:val="auto"/>
                <w:kern w:val="2"/>
                <w:sz w:val="24"/>
                <w:szCs w:val="24"/>
                <w:highlight w:val="none"/>
                <w:lang w:eastAsia="zh-CN"/>
              </w:rPr>
            </w:pPr>
            <w:r>
              <w:rPr>
                <w:rFonts w:hint="eastAsia" w:ascii="宋体" w:hAnsi="宋体" w:eastAsia="宋体" w:cs="宋体"/>
                <w:sz w:val="24"/>
                <w:szCs w:val="24"/>
                <w:highlight w:val="none"/>
                <w:lang w:eastAsia="zh-CN"/>
              </w:rPr>
              <w:t>自动体外</w:t>
            </w:r>
            <w:r>
              <w:rPr>
                <w:rFonts w:hint="eastAsia" w:ascii="Times New Roman" w:hAnsi="宋体" w:eastAsia="宋体" w:cs="Times New Roman"/>
                <w:color w:val="auto"/>
                <w:kern w:val="2"/>
                <w:sz w:val="24"/>
                <w:szCs w:val="24"/>
                <w:highlight w:val="none"/>
                <w:lang w:eastAsia="zh-CN"/>
              </w:rPr>
              <w:t>除颤仪</w:t>
            </w:r>
          </w:p>
        </w:tc>
        <w:tc>
          <w:tcPr>
            <w:tcW w:w="104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2</w:t>
            </w:r>
          </w:p>
        </w:tc>
        <w:tc>
          <w:tcPr>
            <w:tcW w:w="103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台</w:t>
            </w:r>
          </w:p>
        </w:tc>
        <w:tc>
          <w:tcPr>
            <w:tcW w:w="242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hAnsi="宋体" w:eastAsia="宋体" w:cs="Times New Roman"/>
                <w:bCs/>
                <w:color w:val="auto"/>
                <w:kern w:val="2"/>
                <w:sz w:val="24"/>
                <w:szCs w:val="24"/>
                <w:highlight w:val="none"/>
                <w:lang w:val="en-US" w:eastAsia="zh-CN" w:bidi="ar-SA"/>
              </w:rPr>
            </w:pPr>
            <w:r>
              <w:rPr>
                <w:rFonts w:hint="eastAsia" w:hAnsi="宋体" w:eastAsia="宋体" w:cs="Times New Roman"/>
                <w:bCs/>
                <w:color w:val="auto"/>
                <w:kern w:val="2"/>
                <w:sz w:val="24"/>
                <w:szCs w:val="24"/>
                <w:highlight w:val="none"/>
                <w:lang w:val="en-US" w:eastAsia="zh-CN" w:bidi="ar-SA"/>
              </w:rPr>
              <w:t>3.2</w:t>
            </w:r>
          </w:p>
        </w:tc>
      </w:tr>
    </w:tbl>
    <w:p>
      <w:pPr>
        <w:spacing w:line="360" w:lineRule="auto"/>
        <w:contextualSpacing/>
        <w:rPr>
          <w:rFonts w:hint="eastAsia"/>
          <w:b/>
          <w:color w:val="auto"/>
          <w:sz w:val="24"/>
        </w:rPr>
      </w:pPr>
      <w:r>
        <w:rPr>
          <w:rFonts w:hint="eastAsia"/>
          <w:b/>
          <w:color w:val="auto"/>
          <w:sz w:val="24"/>
        </w:rPr>
        <w:t>二、资金情况：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资金来源及预算金额：财政性资金</w:t>
      </w:r>
      <w:r>
        <w:rPr>
          <w:rFonts w:hint="eastAsia"/>
          <w:color w:val="auto"/>
          <w:sz w:val="24"/>
          <w:lang w:eastAsia="zh-CN"/>
        </w:rPr>
        <w:t>，已落实</w:t>
      </w:r>
      <w:r>
        <w:rPr>
          <w:rFonts w:hint="eastAsia"/>
          <w:color w:val="auto"/>
          <w:sz w:val="24"/>
        </w:rPr>
        <w:t>。</w:t>
      </w:r>
    </w:p>
    <w:p>
      <w:pPr>
        <w:spacing w:line="360" w:lineRule="auto"/>
        <w:contextualSpacing/>
        <w:rPr>
          <w:rFonts w:hint="eastAsia"/>
          <w:color w:val="auto"/>
          <w:sz w:val="24"/>
        </w:rPr>
      </w:pPr>
      <w:r>
        <w:rPr>
          <w:rFonts w:hint="eastAsia"/>
          <w:b/>
          <w:color w:val="auto"/>
          <w:sz w:val="24"/>
        </w:rPr>
        <w:t>三</w:t>
      </w:r>
      <w:r>
        <w:rPr>
          <w:rFonts w:hint="eastAsia"/>
          <w:b/>
          <w:bCs/>
          <w:color w:val="auto"/>
          <w:sz w:val="24"/>
        </w:rPr>
        <w:t>、</w:t>
      </w:r>
      <w:r>
        <w:rPr>
          <w:rFonts w:hint="eastAsia"/>
          <w:b/>
          <w:color w:val="auto"/>
          <w:sz w:val="24"/>
        </w:rPr>
        <w:t>采购项目简介：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kern w:val="0"/>
          <w:sz w:val="24"/>
        </w:rPr>
      </w:pPr>
      <w:r>
        <w:rPr>
          <w:rFonts w:hint="eastAsia"/>
          <w:color w:val="auto"/>
          <w:kern w:val="0"/>
          <w:sz w:val="24"/>
        </w:rPr>
        <w:t>详见谈判文件第五章。</w:t>
      </w:r>
    </w:p>
    <w:p>
      <w:pPr>
        <w:spacing w:line="360" w:lineRule="auto"/>
        <w:contextualSpacing/>
        <w:rPr>
          <w:rFonts w:hint="eastAsia"/>
          <w:b/>
          <w:bCs/>
          <w:color w:val="auto"/>
          <w:sz w:val="24"/>
        </w:rPr>
      </w:pPr>
      <w:r>
        <w:rPr>
          <w:rFonts w:hint="eastAsia"/>
          <w:b/>
          <w:bCs/>
          <w:color w:val="auto"/>
          <w:sz w:val="24"/>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bCs/>
          <w:color w:val="auto"/>
          <w:sz w:val="24"/>
        </w:rPr>
      </w:pPr>
      <w:r>
        <w:rPr>
          <w:rFonts w:hint="eastAsia"/>
          <w:bCs/>
          <w:color w:val="auto"/>
          <w:sz w:val="24"/>
        </w:rPr>
        <w:t>公告方式：本次竞争性谈判邀请在</w:t>
      </w:r>
      <w:r>
        <w:rPr>
          <w:rFonts w:hint="eastAsia" w:ascii="Times New Roman" w:hAnsi="宋体" w:eastAsia="宋体" w:cs="Times New Roman"/>
          <w:bCs/>
          <w:snapToGrid w:val="0"/>
          <w:color w:val="auto"/>
          <w:kern w:val="0"/>
          <w:sz w:val="24"/>
          <w:szCs w:val="24"/>
          <w:lang w:val="en-US" w:eastAsia="zh-CN"/>
        </w:rPr>
        <w:t>在</w:t>
      </w:r>
      <w:r>
        <w:rPr>
          <w:rFonts w:hint="eastAsia" w:ascii="Times New Roman" w:hAnsi="宋体" w:eastAsia="宋体" w:cs="Times New Roman"/>
          <w:bCs/>
          <w:snapToGrid w:val="0"/>
          <w:color w:val="auto"/>
          <w:kern w:val="0"/>
          <w:sz w:val="24"/>
          <w:szCs w:val="24"/>
        </w:rPr>
        <w:t>四</w:t>
      </w:r>
      <w:r>
        <w:rPr>
          <w:rFonts w:hint="eastAsia" w:ascii="Times New Roman" w:hAnsi="宋体"/>
          <w:bCs/>
          <w:snapToGrid w:val="0"/>
          <w:color w:val="auto"/>
          <w:kern w:val="0"/>
          <w:sz w:val="24"/>
          <w:szCs w:val="24"/>
        </w:rPr>
        <w:t>川省乐至县中医医院</w:t>
      </w:r>
      <w:r>
        <w:rPr>
          <w:rFonts w:hint="eastAsia" w:ascii="Times New Roman" w:hAnsi="宋体"/>
          <w:bCs/>
          <w:snapToGrid w:val="0"/>
          <w:color w:val="auto"/>
          <w:kern w:val="0"/>
          <w:sz w:val="24"/>
          <w:szCs w:val="24"/>
          <w:lang w:val="en-US" w:eastAsia="zh-CN"/>
        </w:rPr>
        <w:t>官方网站http://www.lzzhongyi.com（以下称：采购人官网）</w:t>
      </w:r>
      <w:r>
        <w:rPr>
          <w:rFonts w:hint="eastAsia"/>
          <w:bCs/>
          <w:color w:val="auto"/>
          <w:sz w:val="24"/>
        </w:rPr>
        <w:t>上以公告形式发布。</w:t>
      </w:r>
    </w:p>
    <w:p>
      <w:pPr>
        <w:spacing w:line="360" w:lineRule="auto"/>
        <w:contextualSpacing/>
        <w:rPr>
          <w:rFonts w:hint="eastAsia"/>
          <w:b/>
          <w:bCs/>
          <w:color w:val="auto"/>
          <w:sz w:val="24"/>
        </w:rPr>
      </w:pPr>
      <w:r>
        <w:rPr>
          <w:rFonts w:hint="eastAsia"/>
          <w:b/>
          <w:bCs/>
          <w:color w:val="auto"/>
          <w:sz w:val="24"/>
        </w:rPr>
        <w:t>五、供应商参加本次政府采购活动应具备下列条件：</w:t>
      </w:r>
    </w:p>
    <w:p>
      <w:pPr>
        <w:spacing w:line="360" w:lineRule="auto"/>
        <w:rPr>
          <w:rFonts w:hint="eastAsia"/>
          <w:b/>
          <w:color w:val="auto"/>
          <w:sz w:val="24"/>
        </w:rPr>
      </w:pPr>
      <w:r>
        <w:rPr>
          <w:rFonts w:hint="eastAsia"/>
          <w:b/>
          <w:color w:val="auto"/>
          <w:sz w:val="24"/>
        </w:rPr>
        <w:t>（一）参加谈判的供应商应具备下列资格条件：《中华人民共和国政府采购法》第二十二条第一款第1项至第5项规定的条件：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5、参加本次政府采购活动前三年内，在经营活动中没有重大违法记录。</w:t>
      </w:r>
    </w:p>
    <w:p>
      <w:pPr>
        <w:spacing w:line="360" w:lineRule="auto"/>
        <w:rPr>
          <w:b/>
          <w:color w:val="auto"/>
          <w:sz w:val="24"/>
        </w:rPr>
      </w:pPr>
      <w:r>
        <w:rPr>
          <w:rFonts w:hint="eastAsia"/>
          <w:b/>
          <w:color w:val="auto"/>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、提供法定代表人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单位负责人授权委托书原件（注：</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提供法定代表人或单位负责人 </w:t>
      </w:r>
    </w:p>
    <w:p>
      <w:pPr>
        <w:spacing w:line="360" w:lineRule="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和授权代表身份证（正反面）或护照复印件（复印件加盖公章）；</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法定代表人或单位负责人或自然人直接参与谈判的提供身份证明材料复印件）。</w:t>
      </w:r>
    </w:p>
    <w:p>
      <w:pPr>
        <w:spacing w:line="360" w:lineRule="auto"/>
        <w:rPr>
          <w:rFonts w:hint="eastAsia"/>
          <w:b/>
          <w:color w:val="auto"/>
          <w:sz w:val="24"/>
        </w:rPr>
      </w:pPr>
      <w:r>
        <w:rPr>
          <w:rFonts w:hint="eastAsia"/>
          <w:b/>
          <w:color w:val="auto"/>
          <w:sz w:val="24"/>
        </w:rPr>
        <w:t>（三）根据采购项目提出的特殊条件：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1</w:t>
      </w:r>
      <w:r>
        <w:rPr>
          <w:rFonts w:hint="eastAsia" w:ascii="Times New Roman" w:hAnsi="Times New Roman" w:eastAsia="宋体" w:cs="Times New Roman"/>
          <w:color w:val="auto"/>
          <w:sz w:val="24"/>
          <w:highlight w:val="yellow"/>
          <w:lang w:val="en-US" w:eastAsia="zh-CN"/>
        </w:rPr>
        <w:t>、供应商产品须具有医疗器械产品注册证或备案凭证；</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2</w:t>
      </w:r>
      <w:r>
        <w:rPr>
          <w:rFonts w:hint="eastAsia" w:ascii="Times New Roman" w:hAnsi="Times New Roman" w:eastAsia="宋体" w:cs="Times New Roman"/>
          <w:color w:val="auto"/>
          <w:sz w:val="24"/>
          <w:highlight w:val="yellow"/>
          <w:lang w:val="en-US" w:eastAsia="zh-CN"/>
        </w:rPr>
        <w:t xml:space="preserve">、供应商为生产厂家应具有中华人民共和国医疗器械生产许可证；供应商为经营公司应具有中华人民共和国医疗器械经营许可证（或第二类医疗器械经营备案凭证）；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3</w:t>
      </w:r>
      <w:r>
        <w:rPr>
          <w:rFonts w:hint="eastAsia" w:ascii="Times New Roman" w:hAnsi="Times New Roman" w:eastAsia="宋体" w:cs="Times New Roman"/>
          <w:color w:val="auto"/>
          <w:sz w:val="24"/>
          <w:highlight w:val="yellow"/>
          <w:lang w:val="en-US" w:eastAsia="zh-CN"/>
        </w:rPr>
        <w:t xml:space="preserve">、本项目属于医疗器械产品须符合《医疗器械注册管理办法》要求，投标人须提供所投产品的注册/备案证明材料复印件；（提供相关证件复印件）； </w:t>
      </w:r>
    </w:p>
    <w:p>
      <w:pPr>
        <w:spacing w:line="360" w:lineRule="auto"/>
        <w:contextualSpacing/>
        <w:rPr>
          <w:rFonts w:hint="eastAsia"/>
          <w:b/>
          <w:color w:val="auto"/>
          <w:sz w:val="24"/>
        </w:rPr>
      </w:pPr>
      <w:r>
        <w:rPr>
          <w:rFonts w:hint="eastAsia"/>
          <w:b/>
          <w:color w:val="auto"/>
          <w:sz w:val="24"/>
        </w:rPr>
        <w:t>六、严禁参加本次采购活动的供应商：</w:t>
      </w:r>
    </w:p>
    <w:p>
      <w:pPr>
        <w:spacing w:line="360" w:lineRule="auto"/>
        <w:ind w:firstLine="480" w:firstLineChars="200"/>
        <w:contextualSpacing/>
        <w:rPr>
          <w:rFonts w:hint="eastAsia"/>
          <w:color w:val="auto"/>
          <w:sz w:val="24"/>
        </w:rPr>
      </w:pPr>
      <w:r>
        <w:rPr>
          <w:rFonts w:hint="eastAsia"/>
          <w:color w:val="auto"/>
          <w:sz w:val="24"/>
        </w:rPr>
        <w:t>1、根据《关于在政府采购活动中查询及使用信用记录有关问题的通知》（财库〔2016〕125号）的要求，采购</w:t>
      </w:r>
      <w:r>
        <w:rPr>
          <w:rFonts w:hint="eastAsia"/>
          <w:color w:val="auto"/>
          <w:sz w:val="24"/>
          <w:lang w:val="en-US" w:eastAsia="zh-CN"/>
        </w:rPr>
        <w:t>人</w:t>
      </w:r>
      <w:r>
        <w:rPr>
          <w:rFonts w:hint="eastAsia"/>
          <w:color w:val="auto"/>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color w:val="auto"/>
          <w:sz w:val="24"/>
        </w:rPr>
      </w:pPr>
      <w:r>
        <w:rPr>
          <w:rFonts w:hint="eastAsia"/>
          <w:color w:val="auto"/>
          <w:sz w:val="24"/>
        </w:rPr>
        <w:t>2、为采购项目提供整体设计、规范编制或者项目管理、监理、检测等服务的供应商，不得参加本采购项目</w:t>
      </w:r>
      <w:r>
        <w:rPr>
          <w:rFonts w:hint="eastAsia"/>
          <w:color w:val="auto"/>
          <w:sz w:val="24"/>
          <w:lang w:val="en-US" w:eastAsia="zh-CN"/>
        </w:rPr>
        <w:t>及</w:t>
      </w:r>
      <w:r>
        <w:rPr>
          <w:color w:val="auto"/>
          <w:sz w:val="24"/>
        </w:rPr>
        <w:t>其</w:t>
      </w:r>
      <w:r>
        <w:rPr>
          <w:rFonts w:hint="eastAsia"/>
          <w:color w:val="auto"/>
          <w:sz w:val="24"/>
        </w:rPr>
        <w:t>它</w:t>
      </w:r>
      <w:r>
        <w:rPr>
          <w:color w:val="auto"/>
          <w:sz w:val="24"/>
        </w:rPr>
        <w:t>采购活动</w:t>
      </w:r>
      <w:r>
        <w:rPr>
          <w:rFonts w:hint="eastAsia"/>
          <w:color w:val="auto"/>
          <w:sz w:val="24"/>
        </w:rPr>
        <w:t>。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line="360" w:lineRule="auto"/>
        <w:contextualSpacing/>
        <w:rPr>
          <w:rFonts w:hint="eastAsia"/>
          <w:b/>
          <w:color w:val="auto"/>
          <w:sz w:val="24"/>
        </w:rPr>
      </w:pPr>
      <w:r>
        <w:rPr>
          <w:rFonts w:hint="eastAsia"/>
          <w:b/>
          <w:color w:val="auto"/>
          <w:sz w:val="24"/>
        </w:rPr>
        <w:t>七、</w:t>
      </w:r>
      <w:r>
        <w:rPr>
          <w:rFonts w:hint="eastAsia" w:ascii="Times New Roman" w:hAnsi="宋体" w:eastAsia="宋体" w:cs="Times New Roman"/>
          <w:b/>
          <w:bCs/>
          <w:color w:val="auto"/>
          <w:spacing w:val="-4"/>
          <w:kern w:val="0"/>
          <w:sz w:val="24"/>
          <w:szCs w:val="24"/>
          <w:lang w:val="en-US" w:eastAsia="zh-CN"/>
        </w:rPr>
        <w:t>报名截止时间、报名方式以及</w:t>
      </w:r>
      <w:r>
        <w:rPr>
          <w:rFonts w:hint="eastAsia"/>
          <w:b/>
          <w:color w:val="auto"/>
          <w:sz w:val="24"/>
        </w:rPr>
        <w:t>谈判文件获取方式：</w:t>
      </w:r>
    </w:p>
    <w:p>
      <w:pPr>
        <w:wordWrap w:val="0"/>
        <w:spacing w:line="440" w:lineRule="exact"/>
        <w:ind w:firstLine="480" w:firstLineChars="200"/>
        <w:rPr>
          <w:rFonts w:hint="default"/>
          <w:color w:val="auto"/>
          <w:lang w:val="en-US"/>
        </w:rPr>
      </w:pPr>
      <w:r>
        <w:rPr>
          <w:rFonts w:hint="eastAsia" w:ascii="Times New Roman" w:hAnsi="宋体" w:eastAsia="宋体" w:cs="Times New Roman"/>
          <w:color w:val="auto"/>
          <w:sz w:val="24"/>
          <w:szCs w:val="20"/>
          <w:lang w:val="en-US" w:eastAsia="zh-CN"/>
        </w:rPr>
        <w:t>1、报名截止时间、报名方式：供应商应在</w:t>
      </w:r>
      <w:r>
        <w:rPr>
          <w:rFonts w:hint="eastAsia" w:ascii="Times New Roman" w:hAnsi="宋体" w:eastAsia="宋体" w:cs="Times New Roman"/>
          <w:color w:val="auto"/>
          <w:spacing w:val="-4"/>
          <w:kern w:val="0"/>
          <w:sz w:val="24"/>
          <w:szCs w:val="24"/>
          <w:highlight w:val="yellow"/>
          <w:lang w:val="en-US" w:eastAsia="zh-CN"/>
        </w:rPr>
        <w:t>2022年5月7日至2022年5月11日</w:t>
      </w:r>
      <w:r>
        <w:rPr>
          <w:rFonts w:hint="default" w:ascii="Times New Roman" w:hAnsi="Times New Roman" w:eastAsia="宋体" w:cs="Times New Roman"/>
          <w:color w:val="auto"/>
          <w:kern w:val="0"/>
          <w:sz w:val="24"/>
          <w:szCs w:val="24"/>
          <w:highlight w:val="yellow"/>
          <w:lang w:val="en-US" w:eastAsia="zh-CN" w:bidi="ar"/>
        </w:rPr>
        <w:t>09:00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12:00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14:00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17:00</w:t>
      </w:r>
      <w:r>
        <w:rPr>
          <w:rFonts w:hint="eastAsia" w:ascii="宋体" w:hAnsi="宋体" w:eastAsia="宋体" w:cs="宋体"/>
          <w:color w:val="auto"/>
          <w:kern w:val="0"/>
          <w:sz w:val="24"/>
          <w:szCs w:val="24"/>
          <w:highlight w:val="none"/>
          <w:lang w:val="en-US" w:eastAsia="zh-CN" w:bidi="ar"/>
        </w:rPr>
        <w:t>（北京时间）内</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highlight w:val="none"/>
          <w:lang w:val="en-US" w:eastAsia="zh-CN" w:bidi="ar"/>
        </w:rPr>
        <w:t>通过邮件的方式将报名资料</w:t>
      </w:r>
      <w:r>
        <w:rPr>
          <w:rFonts w:hint="eastAsia" w:ascii="宋体" w:hAnsi="宋体" w:eastAsia="宋体" w:cs="宋体"/>
          <w:color w:val="auto"/>
          <w:kern w:val="0"/>
          <w:sz w:val="24"/>
          <w:szCs w:val="24"/>
          <w:lang w:val="en-US" w:eastAsia="zh-CN" w:bidi="ar"/>
        </w:rPr>
        <w:t>发送至449662068@qq.com邮箱中。</w:t>
      </w:r>
    </w:p>
    <w:p>
      <w:pPr>
        <w:pStyle w:val="10"/>
        <w:rPr>
          <w:rFonts w:hint="eastAsia" w:ascii="Times New Roman" w:hAnsi="宋体" w:eastAsia="宋体" w:cs="Times New Roman"/>
          <w:b w:val="0"/>
          <w:color w:val="auto"/>
          <w:kern w:val="2"/>
          <w:sz w:val="24"/>
          <w:szCs w:val="20"/>
          <w:lang w:val="en-US" w:eastAsia="zh-CN" w:bidi="ar-SA"/>
        </w:rPr>
      </w:pPr>
      <w:r>
        <w:rPr>
          <w:rFonts w:hint="eastAsia" w:ascii="Times New Roman" w:hAnsi="宋体" w:eastAsia="宋体" w:cs="Times New Roman"/>
          <w:b w:val="0"/>
          <w:color w:val="auto"/>
          <w:kern w:val="2"/>
          <w:sz w:val="24"/>
          <w:szCs w:val="20"/>
          <w:lang w:val="en-US" w:eastAsia="zh-CN" w:bidi="ar-SA"/>
        </w:rPr>
        <w:t>2、谈判文件获取方式：报名成功登记备案后，通过邮件回复。</w:t>
      </w:r>
    </w:p>
    <w:p>
      <w:pPr>
        <w:spacing w:line="360" w:lineRule="auto"/>
        <w:contextualSpacing/>
        <w:rPr>
          <w:b/>
          <w:color w:val="auto"/>
          <w:sz w:val="24"/>
        </w:rPr>
      </w:pPr>
      <w:r>
        <w:rPr>
          <w:rFonts w:hint="eastAsia"/>
          <w:b/>
          <w:color w:val="auto"/>
          <w:sz w:val="24"/>
        </w:rPr>
        <w:t>八、递交响应文件截止时间：</w:t>
      </w:r>
      <w:r>
        <w:rPr>
          <w:rFonts w:hint="eastAsia"/>
          <w:b/>
          <w:bCs/>
          <w:color w:val="auto"/>
          <w:sz w:val="24"/>
          <w:highlight w:val="yellow"/>
        </w:rPr>
        <w:t>20</w:t>
      </w:r>
      <w:r>
        <w:rPr>
          <w:b/>
          <w:bCs/>
          <w:color w:val="auto"/>
          <w:sz w:val="24"/>
          <w:highlight w:val="yellow"/>
        </w:rPr>
        <w:t>21</w:t>
      </w:r>
      <w:r>
        <w:rPr>
          <w:rFonts w:hint="eastAsia"/>
          <w:b/>
          <w:bCs/>
          <w:color w:val="auto"/>
          <w:sz w:val="24"/>
          <w:highlight w:val="yellow"/>
        </w:rPr>
        <w:t>年</w:t>
      </w:r>
      <w:r>
        <w:rPr>
          <w:b/>
          <w:bCs/>
          <w:color w:val="auto"/>
          <w:sz w:val="24"/>
          <w:highlight w:val="yellow"/>
        </w:rPr>
        <w:t>0</w:t>
      </w:r>
      <w:r>
        <w:rPr>
          <w:rFonts w:hint="eastAsia"/>
          <w:b/>
          <w:bCs/>
          <w:color w:val="auto"/>
          <w:sz w:val="24"/>
          <w:highlight w:val="yellow"/>
          <w:lang w:val="en-US" w:eastAsia="zh-CN"/>
        </w:rPr>
        <w:t>5</w:t>
      </w:r>
      <w:r>
        <w:rPr>
          <w:rFonts w:hint="eastAsia"/>
          <w:b/>
          <w:bCs/>
          <w:color w:val="auto"/>
          <w:sz w:val="24"/>
          <w:highlight w:val="yellow"/>
        </w:rPr>
        <w:t>月</w:t>
      </w:r>
      <w:r>
        <w:rPr>
          <w:rFonts w:hint="eastAsia"/>
          <w:b/>
          <w:bCs/>
          <w:color w:val="auto"/>
          <w:sz w:val="24"/>
          <w:highlight w:val="yellow"/>
          <w:lang w:val="en-US" w:eastAsia="zh-CN"/>
        </w:rPr>
        <w:t>12</w:t>
      </w:r>
      <w:r>
        <w:rPr>
          <w:rFonts w:hint="eastAsia"/>
          <w:b/>
          <w:bCs/>
          <w:color w:val="auto"/>
          <w:sz w:val="24"/>
          <w:highlight w:val="yellow"/>
        </w:rPr>
        <w:t>日</w:t>
      </w:r>
      <w:r>
        <w:rPr>
          <w:b/>
          <w:bCs/>
          <w:color w:val="auto"/>
          <w:sz w:val="24"/>
          <w:highlight w:val="yellow"/>
        </w:rPr>
        <w:t>1</w:t>
      </w:r>
      <w:r>
        <w:rPr>
          <w:rFonts w:hint="eastAsia"/>
          <w:b/>
          <w:bCs/>
          <w:color w:val="auto"/>
          <w:sz w:val="24"/>
          <w:highlight w:val="yellow"/>
          <w:lang w:val="en-US" w:eastAsia="zh-CN"/>
        </w:rPr>
        <w:t>1</w:t>
      </w:r>
      <w:r>
        <w:rPr>
          <w:rFonts w:hint="eastAsia"/>
          <w:b/>
          <w:bCs/>
          <w:color w:val="auto"/>
          <w:sz w:val="24"/>
          <w:highlight w:val="yellow"/>
        </w:rPr>
        <w:t>:</w:t>
      </w:r>
      <w:r>
        <w:rPr>
          <w:rFonts w:hint="eastAsia"/>
          <w:b/>
          <w:bCs/>
          <w:color w:val="auto"/>
          <w:sz w:val="24"/>
          <w:highlight w:val="yellow"/>
          <w:lang w:val="en-US" w:eastAsia="zh-CN"/>
        </w:rPr>
        <w:t>0</w:t>
      </w:r>
      <w:r>
        <w:rPr>
          <w:rFonts w:hint="eastAsia"/>
          <w:b/>
          <w:bCs/>
          <w:color w:val="auto"/>
          <w:sz w:val="24"/>
          <w:highlight w:val="yellow"/>
        </w:rPr>
        <w:t>0</w:t>
      </w:r>
      <w:r>
        <w:rPr>
          <w:rFonts w:hint="eastAsia"/>
          <w:b/>
          <w:bCs/>
          <w:color w:val="auto"/>
          <w:sz w:val="24"/>
        </w:rPr>
        <w:t>（北京时间）</w:t>
      </w:r>
      <w:r>
        <w:rPr>
          <w:rFonts w:hint="eastAsia"/>
          <w:b/>
          <w:color w:val="auto"/>
          <w:sz w:val="24"/>
        </w:rPr>
        <w:t>。</w:t>
      </w:r>
    </w:p>
    <w:p>
      <w:pPr>
        <w:spacing w:line="360" w:lineRule="auto"/>
        <w:ind w:firstLine="480" w:firstLineChars="200"/>
        <w:contextualSpacing/>
        <w:rPr>
          <w:rFonts w:hint="eastAsia"/>
          <w:color w:val="auto"/>
          <w:sz w:val="24"/>
        </w:rPr>
      </w:pPr>
      <w:r>
        <w:rPr>
          <w:rFonts w:hint="eastAsia"/>
          <w:color w:val="auto"/>
          <w:sz w:val="24"/>
        </w:rPr>
        <w:t>响应文件必须在递交响应文件截止时间前送达谈判地点。逾期送达、密封和标注错误的响应文件，采购</w:t>
      </w:r>
      <w:r>
        <w:rPr>
          <w:rFonts w:hint="eastAsia"/>
          <w:color w:val="auto"/>
          <w:sz w:val="24"/>
          <w:lang w:eastAsia="zh-CN"/>
        </w:rPr>
        <w:t>人</w:t>
      </w:r>
      <w:r>
        <w:rPr>
          <w:rFonts w:hint="eastAsia"/>
          <w:color w:val="auto"/>
          <w:sz w:val="24"/>
        </w:rPr>
        <w:t>恕不接收。本次采购不接收邮寄的响应文件。</w:t>
      </w:r>
    </w:p>
    <w:p>
      <w:pPr>
        <w:spacing w:line="360" w:lineRule="auto"/>
        <w:contextualSpacing/>
        <w:rPr>
          <w:rFonts w:hint="eastAsia"/>
          <w:b/>
          <w:color w:val="auto"/>
          <w:sz w:val="24"/>
        </w:rPr>
      </w:pPr>
      <w:r>
        <w:rPr>
          <w:rFonts w:hint="eastAsia"/>
          <w:b/>
          <w:color w:val="auto"/>
          <w:sz w:val="24"/>
        </w:rPr>
        <w:t>九、递交响应文件地点及</w:t>
      </w:r>
      <w:r>
        <w:rPr>
          <w:b/>
          <w:color w:val="auto"/>
          <w:sz w:val="24"/>
        </w:rPr>
        <w:t>谈判地点</w:t>
      </w:r>
      <w:r>
        <w:rPr>
          <w:rFonts w:hint="eastAsia"/>
          <w:b/>
          <w:color w:val="auto"/>
          <w:sz w:val="24"/>
        </w:rPr>
        <w:t>：</w:t>
      </w:r>
      <w:r>
        <w:rPr>
          <w:rFonts w:hint="eastAsia"/>
          <w:b/>
          <w:color w:val="auto"/>
          <w:sz w:val="24"/>
          <w:lang w:eastAsia="zh-CN"/>
        </w:rPr>
        <w:t>乐至县二环路东一段</w:t>
      </w:r>
      <w:r>
        <w:rPr>
          <w:rFonts w:hint="eastAsia"/>
          <w:b/>
          <w:color w:val="auto"/>
          <w:sz w:val="24"/>
          <w:lang w:val="en-US" w:eastAsia="zh-CN"/>
        </w:rPr>
        <w:t>505号中医院门诊四楼</w:t>
      </w:r>
      <w:r>
        <w:rPr>
          <w:b/>
          <w:color w:val="auto"/>
          <w:sz w:val="24"/>
        </w:rPr>
        <w:t>会议室</w:t>
      </w:r>
      <w:r>
        <w:rPr>
          <w:rFonts w:hint="eastAsia"/>
          <w:b/>
          <w:color w:val="auto"/>
          <w:sz w:val="24"/>
        </w:rPr>
        <w:t>。</w:t>
      </w:r>
    </w:p>
    <w:p>
      <w:pPr>
        <w:spacing w:line="360" w:lineRule="auto"/>
        <w:contextualSpacing/>
        <w:rPr>
          <w:rFonts w:hint="eastAsia"/>
          <w:b/>
          <w:color w:val="auto"/>
          <w:sz w:val="24"/>
        </w:rPr>
      </w:pPr>
      <w:r>
        <w:rPr>
          <w:rFonts w:hint="eastAsia"/>
          <w:b/>
          <w:color w:val="auto"/>
          <w:sz w:val="24"/>
        </w:rPr>
        <w:t>十、联系方式：</w:t>
      </w:r>
    </w:p>
    <w:p>
      <w:pPr>
        <w:pStyle w:val="13"/>
        <w:ind w:left="840" w:leftChars="400" w:firstLine="0" w:firstLineChars="0"/>
        <w:contextualSpacing/>
        <w:rPr>
          <w:rFonts w:hint="eastAsia" w:ascii="Times New Roman" w:hAnsi="Times New Roman" w:eastAsia="宋体" w:cs="Times New Roman"/>
          <w:bCs/>
          <w:color w:val="auto"/>
          <w:sz w:val="24"/>
          <w:lang w:val="en-US" w:eastAsia="zh-CN"/>
        </w:rPr>
      </w:pPr>
      <w:r>
        <w:rPr>
          <w:rFonts w:hint="eastAsia"/>
          <w:bCs/>
          <w:color w:val="auto"/>
          <w:sz w:val="24"/>
        </w:rPr>
        <w:t>通讯地址：</w:t>
      </w:r>
      <w:r>
        <w:rPr>
          <w:rFonts w:hint="eastAsia" w:ascii="Times New Roman" w:hAnsi="Times New Roman" w:eastAsia="宋体" w:cs="Times New Roman"/>
          <w:bCs/>
          <w:color w:val="auto"/>
          <w:sz w:val="24"/>
          <w:lang w:eastAsia="zh-CN"/>
        </w:rPr>
        <w:t>乐至县二环路东一段</w:t>
      </w:r>
      <w:r>
        <w:rPr>
          <w:rFonts w:hint="eastAsia" w:ascii="Times New Roman" w:hAnsi="Times New Roman" w:eastAsia="宋体" w:cs="Times New Roman"/>
          <w:bCs/>
          <w:color w:val="auto"/>
          <w:sz w:val="24"/>
          <w:lang w:val="en-US" w:eastAsia="zh-CN"/>
        </w:rPr>
        <w:t>505号</w:t>
      </w:r>
    </w:p>
    <w:p>
      <w:pPr>
        <w:pStyle w:val="13"/>
        <w:ind w:left="840" w:leftChars="400" w:firstLine="0" w:firstLineChars="0"/>
        <w:contextualSpacing/>
        <w:rPr>
          <w:rFonts w:hint="eastAsia"/>
          <w:color w:val="auto"/>
          <w:sz w:val="24"/>
        </w:rPr>
      </w:pPr>
      <w:r>
        <w:rPr>
          <w:rFonts w:hint="eastAsia"/>
          <w:color w:val="auto"/>
          <w:sz w:val="24"/>
        </w:rPr>
        <w:t>联系人：</w:t>
      </w:r>
      <w:r>
        <w:rPr>
          <w:rFonts w:hint="eastAsia"/>
          <w:color w:val="auto"/>
          <w:sz w:val="24"/>
          <w:lang w:eastAsia="zh-CN"/>
        </w:rPr>
        <w:t>钟</w:t>
      </w:r>
      <w:r>
        <w:rPr>
          <w:rFonts w:hint="eastAsia"/>
          <w:color w:val="auto"/>
          <w:sz w:val="24"/>
        </w:rPr>
        <w:t>老师</w:t>
      </w:r>
    </w:p>
    <w:p>
      <w:pPr>
        <w:pStyle w:val="13"/>
        <w:ind w:left="840" w:leftChars="400" w:firstLine="0" w:firstLineChars="0"/>
        <w:contextualSpacing/>
        <w:rPr>
          <w:rFonts w:hint="default" w:eastAsia="宋体"/>
          <w:bCs/>
          <w:color w:val="auto"/>
          <w:sz w:val="24"/>
          <w:lang w:val="en-US" w:eastAsia="zh-CN"/>
        </w:rPr>
      </w:pPr>
      <w:r>
        <w:rPr>
          <w:rFonts w:hint="eastAsia"/>
          <w:color w:val="auto"/>
          <w:sz w:val="24"/>
        </w:rPr>
        <w:t>联系电话：</w:t>
      </w:r>
      <w:r>
        <w:rPr>
          <w:rFonts w:hint="eastAsia"/>
          <w:bCs/>
          <w:color w:val="auto"/>
          <w:sz w:val="24"/>
        </w:rPr>
        <w:t>028-</w:t>
      </w:r>
      <w:r>
        <w:rPr>
          <w:rFonts w:hint="eastAsia"/>
          <w:bCs/>
          <w:color w:val="auto"/>
          <w:sz w:val="24"/>
          <w:lang w:val="en-US" w:eastAsia="zh-CN"/>
        </w:rPr>
        <w:t>26583066</w:t>
      </w:r>
    </w:p>
    <w:p>
      <w:pPr>
        <w:jc w:val="right"/>
        <w:rPr>
          <w:color w:val="auto"/>
          <w:sz w:val="24"/>
        </w:rPr>
      </w:pPr>
    </w:p>
    <w:p>
      <w:pPr>
        <w:jc w:val="right"/>
        <w:rPr>
          <w:color w:val="auto"/>
          <w:sz w:val="24"/>
        </w:rPr>
      </w:pPr>
    </w:p>
    <w:p>
      <w:pPr>
        <w:jc w:val="right"/>
        <w:rPr>
          <w:rFonts w:hint="eastAsia"/>
          <w:color w:val="auto"/>
          <w:sz w:val="24"/>
          <w:highlight w:val="yellow"/>
        </w:rPr>
      </w:pPr>
      <w:r>
        <w:rPr>
          <w:rFonts w:hint="eastAsia"/>
          <w:color w:val="auto"/>
          <w:sz w:val="24"/>
          <w:highlight w:val="none"/>
        </w:rPr>
        <w:t>20</w:t>
      </w:r>
      <w:r>
        <w:rPr>
          <w:color w:val="auto"/>
          <w:sz w:val="24"/>
          <w:highlight w:val="none"/>
        </w:rPr>
        <w:t>2</w:t>
      </w:r>
      <w:r>
        <w:rPr>
          <w:rFonts w:hint="eastAsia"/>
          <w:color w:val="auto"/>
          <w:sz w:val="24"/>
          <w:highlight w:val="none"/>
          <w:lang w:val="en-US" w:eastAsia="zh-CN"/>
        </w:rPr>
        <w:t>2</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7</w:t>
      </w:r>
      <w:r>
        <w:rPr>
          <w:rFonts w:hint="eastAsia"/>
          <w:color w:val="auto"/>
          <w:sz w:val="24"/>
          <w:highlight w:val="none"/>
        </w:rPr>
        <w:t>日</w:t>
      </w:r>
    </w:p>
    <w:p>
      <w:pPr>
        <w:pStyle w:val="2"/>
        <w:ind w:firstLine="643" w:firstLineChars="200"/>
        <w:rPr>
          <w:rFonts w:hint="eastAsia" w:eastAsia="方正黑体简体"/>
          <w:lang w:val="en-US" w:eastAsia="zh-CN"/>
        </w:rPr>
      </w:pPr>
      <w:bookmarkStart w:id="3" w:name="_GoBack"/>
      <w:bookmarkEnd w:id="3"/>
      <w:r>
        <w:rPr>
          <w:rFonts w:hint="eastAsia" w:ascii="方正黑体简体" w:hAnsi="方正黑体简体" w:eastAsia="方正黑体简体" w:cs="方正黑体简体"/>
          <w:b/>
          <w:color w:val="auto"/>
          <w:kern w:val="2"/>
          <w:sz w:val="32"/>
          <w:szCs w:val="32"/>
          <w:lang w:val="en-US" w:eastAsia="zh-CN" w:bidi="ar-SA"/>
        </w:rPr>
        <w:t>附件：</w:t>
      </w:r>
    </w:p>
    <w:p>
      <w:pPr>
        <w:pStyle w:val="3"/>
        <w:jc w:val="center"/>
        <w:rPr>
          <w:rFonts w:hint="eastAsia"/>
          <w:lang w:val="en-US" w:eastAsia="zh-CN"/>
        </w:rPr>
      </w:pPr>
      <w:r>
        <w:rPr>
          <w:rFonts w:hint="eastAsia"/>
          <w:lang w:val="en-US" w:eastAsia="zh-CN"/>
        </w:rPr>
        <w:t>申请人信息表</w:t>
      </w:r>
    </w:p>
    <w:p>
      <w:pPr>
        <w:pStyle w:val="4"/>
        <w:rPr>
          <w:rFonts w:hint="default" w:ascii="Times New Roman" w:hAnsi="Times New Roman" w:eastAsia="宋体" w:cstheme="minorBidi"/>
          <w:b/>
          <w:bCs w:val="0"/>
          <w:kern w:val="0"/>
          <w:sz w:val="28"/>
          <w:szCs w:val="28"/>
          <w:u w:val="single"/>
          <w:lang w:val="en-US" w:eastAsia="zh-CN" w:bidi="ar-SA"/>
        </w:rPr>
      </w:pPr>
      <w:r>
        <w:rPr>
          <w:rFonts w:hint="eastAsia" w:ascii="Times New Roman" w:hAnsi="Times New Roman" w:cstheme="minorBidi"/>
          <w:b/>
          <w:bCs w:val="0"/>
          <w:kern w:val="0"/>
          <w:sz w:val="28"/>
          <w:szCs w:val="28"/>
          <w:lang w:val="en-US" w:eastAsia="zh-CN" w:bidi="ar-SA"/>
        </w:rPr>
        <w:t>申请</w:t>
      </w:r>
      <w:r>
        <w:rPr>
          <w:rFonts w:hint="eastAsia" w:ascii="Times New Roman" w:hAnsi="Times New Roman" w:eastAsia="宋体" w:cstheme="minorBidi"/>
          <w:b/>
          <w:bCs w:val="0"/>
          <w:kern w:val="0"/>
          <w:sz w:val="28"/>
          <w:szCs w:val="28"/>
          <w:lang w:val="en-US" w:eastAsia="zh-CN" w:bidi="ar-SA"/>
        </w:rPr>
        <w:t>项目名称：</w:t>
      </w:r>
      <w:r>
        <w:rPr>
          <w:rFonts w:hint="eastAsia" w:ascii="Times New Roman" w:hAnsi="Times New Roman" w:eastAsia="宋体" w:cstheme="minorBidi"/>
          <w:b/>
          <w:bCs w:val="0"/>
          <w:kern w:val="0"/>
          <w:sz w:val="28"/>
          <w:szCs w:val="28"/>
          <w:u w:val="single"/>
          <w:lang w:val="en-US" w:eastAsia="zh-CN" w:bidi="ar-SA"/>
        </w:rPr>
        <w:t xml:space="preserve">                                      </w:t>
      </w:r>
    </w:p>
    <w:tbl>
      <w:tblPr>
        <w:tblStyle w:val="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rPr>
          <w:color w:val="auto"/>
        </w:rPr>
      </w:pPr>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00000000"/>
    <w:rsid w:val="0A196C6C"/>
    <w:rsid w:val="1B5263E1"/>
    <w:rsid w:val="1D0431AD"/>
    <w:rsid w:val="1F02144F"/>
    <w:rsid w:val="2ACF1138"/>
    <w:rsid w:val="2C6326CA"/>
    <w:rsid w:val="34B90A7B"/>
    <w:rsid w:val="409D05D4"/>
    <w:rsid w:val="4CC43B23"/>
    <w:rsid w:val="648B57A7"/>
    <w:rsid w:val="6D60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First Indent 2"/>
    <w:basedOn w:val="5"/>
    <w:qFormat/>
    <w:uiPriority w:val="0"/>
    <w:pPr>
      <w:ind w:left="0" w:leftChars="0" w:firstLine="200" w:firstLineChars="200"/>
      <w:jc w:val="left"/>
    </w:pPr>
    <w:rPr>
      <w:rFonts w:ascii="宋体" w:hAnsi="宋体"/>
    </w:rPr>
  </w:style>
  <w:style w:type="paragraph" w:styleId="5">
    <w:name w:val="Body Text Indent"/>
    <w:basedOn w:val="1"/>
    <w:qFormat/>
    <w:uiPriority w:val="0"/>
    <w:pPr>
      <w:ind w:firstLine="630"/>
    </w:pPr>
    <w:rPr>
      <w:sz w:val="32"/>
      <w:szCs w:val="20"/>
    </w:rPr>
  </w:style>
  <w:style w:type="paragraph" w:styleId="6">
    <w:name w:val="Body Text First Indent"/>
    <w:basedOn w:val="2"/>
    <w:unhideWhenUsed/>
    <w:qFormat/>
    <w:uiPriority w:val="99"/>
    <w:pPr>
      <w:ind w:firstLine="420" w:firstLineChars="100"/>
    </w:pPr>
    <w:rPr>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2">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3">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1602</Words>
  <Characters>1732</Characters>
  <Lines>0</Lines>
  <Paragraphs>0</Paragraphs>
  <TotalTime>0</TotalTime>
  <ScaleCrop>false</ScaleCrop>
  <LinksUpToDate>false</LinksUpToDate>
  <CharactersWithSpaces>1775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2022-05-08T09:46:09Z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E6AEFCA82C5D475D93E1C6DD3533EE48</vt:lpwstr>
  </property>
</Properties>
</file>