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7"/>
        <w:gridCol w:w="1569"/>
        <w:gridCol w:w="70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jc w:val="center"/>
        </w:trPr>
        <w:tc>
          <w:tcPr>
            <w:tcW w:w="1087"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r>
              <w:rPr>
                <w:rStyle w:val="7"/>
                <w:rFonts w:hint="eastAsia" w:ascii="宋体" w:hAnsi="宋体" w:eastAsia="宋体" w:cs="宋体"/>
                <w:color w:val="000000" w:themeColor="text1"/>
                <w:sz w:val="21"/>
                <w:szCs w:val="21"/>
                <w14:textFill>
                  <w14:solidFill>
                    <w14:schemeClr w14:val="tx1"/>
                  </w14:solidFill>
                </w14:textFill>
              </w:rPr>
              <w:t>1</w:t>
            </w:r>
          </w:p>
        </w:tc>
        <w:tc>
          <w:tcPr>
            <w:tcW w:w="1569"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r>
              <w:rPr>
                <w:rStyle w:val="7"/>
                <w:rFonts w:hint="eastAsia" w:ascii="宋体" w:hAnsi="宋体" w:eastAsia="宋体" w:cs="宋体"/>
                <w:b/>
                <w:bCs/>
                <w:color w:val="000000" w:themeColor="text1"/>
                <w:sz w:val="21"/>
                <w:szCs w:val="21"/>
                <w14:textFill>
                  <w14:solidFill>
                    <w14:schemeClr w14:val="tx1"/>
                  </w14:solidFill>
                </w14:textFill>
              </w:rPr>
              <w:t>系统架构</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管理、使用用户权限分开，相应权限的用户只能查看、管理相应的系统功能，责任明确。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系统支持双密码用户。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所有系统数据都支持加密传输，防止信息外泄。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系统的时间可以和关键服务器中的数据库的时间进行同步，确保记录时间的一致性。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具备用户行为记录功能，记录用户所有的操作（业务访问、系统维护、策略配置等）。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4"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系统配置文件支持导入、导出。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采用B/S架构，提供中文WEB管理界面以便于管理。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支持集群,系统支持冗余备份。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系统内置故障排错系统，判断故障所在，帮助管理人员快速排查问题。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 w:hRule="atLeast"/>
          <w:jc w:val="center"/>
        </w:trPr>
        <w:tc>
          <w:tcPr>
            <w:tcW w:w="1087"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ind w:right="254" w:rightChars="121"/>
              <w:jc w:val="center"/>
              <w:textAlignment w:val="auto"/>
              <w:rPr>
                <w:rStyle w:val="7"/>
                <w:rFonts w:hint="default" w:ascii="宋体" w:hAnsi="宋体" w:eastAsia="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2</w:t>
            </w:r>
          </w:p>
        </w:tc>
        <w:tc>
          <w:tcPr>
            <w:tcW w:w="1569"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r>
              <w:rPr>
                <w:rStyle w:val="7"/>
                <w:rFonts w:hint="eastAsia" w:ascii="宋体" w:hAnsi="宋体" w:eastAsia="宋体" w:cs="宋体"/>
                <w:b/>
                <w:bCs/>
                <w:color w:val="000000" w:themeColor="text1"/>
                <w:sz w:val="21"/>
                <w:szCs w:val="21"/>
                <w14:textFill>
                  <w14:solidFill>
                    <w14:schemeClr w14:val="tx1"/>
                  </w14:solidFill>
                </w14:textFill>
              </w:rPr>
              <w:t>防统方模块</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内置防统方知识库，且具有独立自主统方学习功能，</w:t>
            </w:r>
            <w:r>
              <w:rPr>
                <w:rFonts w:hint="eastAsia" w:ascii="宋体" w:hAnsi="宋体" w:cs="宋体"/>
                <w:color w:val="000000" w:themeColor="text1"/>
                <w:sz w:val="21"/>
                <w:szCs w:val="21"/>
                <w:lang w:val="en-US" w:eastAsia="zh-CN"/>
                <w14:textFill>
                  <w14:solidFill>
                    <w14:schemeClr w14:val="tx1"/>
                  </w14:solidFill>
                </w14:textFill>
              </w:rPr>
              <w:t>帮助医院</w:t>
            </w:r>
            <w:r>
              <w:rPr>
                <w:rFonts w:hint="eastAsia" w:ascii="宋体" w:hAnsi="宋体" w:eastAsia="宋体" w:cs="宋体"/>
                <w:color w:val="000000" w:themeColor="text1"/>
                <w:sz w:val="21"/>
                <w:szCs w:val="21"/>
                <w14:textFill>
                  <w14:solidFill>
                    <w14:schemeClr w14:val="tx1"/>
                  </w14:solidFill>
                </w14:textFill>
              </w:rPr>
              <w:t>深化党风廉政建设和反腐败工作,规范药品统计权限管理。支持对接医</w:t>
            </w:r>
            <w:r>
              <w:rPr>
                <w:rFonts w:hint="eastAsia" w:ascii="宋体" w:hAnsi="宋体" w:cs="宋体"/>
                <w:color w:val="000000" w:themeColor="text1"/>
                <w:sz w:val="21"/>
                <w:szCs w:val="21"/>
                <w:lang w:val="en-US" w:eastAsia="zh-CN"/>
                <w14:textFill>
                  <w14:solidFill>
                    <w14:schemeClr w14:val="tx1"/>
                  </w14:solidFill>
                </w14:textFill>
              </w:rPr>
              <w:t>院智慧党建平台进行管理</w:t>
            </w:r>
            <w:r>
              <w:rPr>
                <w:rFonts w:hint="eastAsia" w:ascii="宋体" w:hAnsi="宋体" w:eastAsia="宋体" w:cs="宋体"/>
                <w:color w:val="000000" w:themeColor="text1"/>
                <w:sz w:val="21"/>
                <w:szCs w:val="21"/>
                <w14:textFill>
                  <w14:solidFill>
                    <w14:schemeClr w14:val="tx1"/>
                  </w14:solidFill>
                </w14:textFill>
              </w:rPr>
              <w:t>，具有该</w:t>
            </w:r>
            <w:r>
              <w:rPr>
                <w:rFonts w:hint="eastAsia" w:ascii="宋体" w:hAnsi="宋体" w:cs="宋体"/>
                <w:color w:val="000000" w:themeColor="text1"/>
                <w:sz w:val="21"/>
                <w:szCs w:val="21"/>
                <w:lang w:val="en-US" w:eastAsia="zh-CN"/>
                <w14:textFill>
                  <w14:solidFill>
                    <w14:schemeClr w14:val="tx1"/>
                  </w14:solidFill>
                </w14:textFill>
              </w:rPr>
              <w:t>智慧党建</w:t>
            </w:r>
            <w:r>
              <w:rPr>
                <w:rFonts w:hint="eastAsia" w:ascii="宋体" w:hAnsi="宋体" w:eastAsia="宋体" w:cs="宋体"/>
                <w:color w:val="000000" w:themeColor="text1"/>
                <w:sz w:val="21"/>
                <w:szCs w:val="21"/>
                <w14:textFill>
                  <w14:solidFill>
                    <w14:schemeClr w14:val="tx1"/>
                  </w14:solidFill>
                </w14:textFill>
              </w:rPr>
              <w:t>对接模块的《软件著作权登记证书》。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旁路部署，不需要更改现有网络结构、服务器相关配置，系统运行不得影响现有网络和业务的正常运行。系统能独立完成审计数据采集</w:t>
            </w:r>
            <w:r>
              <w:rPr>
                <w:rFonts w:hint="eastAsia" w:ascii="宋体" w:hAnsi="宋体" w:eastAsia="宋体" w:cs="宋体"/>
                <w:color w:val="000000" w:themeColor="text1"/>
                <w:sz w:val="21"/>
                <w:szCs w:val="21"/>
                <w:lang w:val="en-US" w:eastAsia="zh-CN"/>
                <w14:textFill>
                  <w14:solidFill>
                    <w14:schemeClr w14:val="tx1"/>
                  </w14:solidFill>
                </w14:textFill>
              </w:rPr>
              <w:t>和防统方告警</w:t>
            </w:r>
            <w:r>
              <w:rPr>
                <w:rFonts w:hint="eastAsia" w:ascii="宋体" w:hAnsi="宋体" w:eastAsia="宋体" w:cs="宋体"/>
                <w:color w:val="000000" w:themeColor="text1"/>
                <w:sz w:val="21"/>
                <w:szCs w:val="21"/>
                <w14:textFill>
                  <w14:solidFill>
                    <w14:schemeClr w14:val="tx1"/>
                  </w14:solidFill>
                </w14:textFill>
              </w:rPr>
              <w:t>，不依赖于数据库自身审计日志系统，不得在现有服务器上安装可能带来风险的程序。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9"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分析可疑对象的信息，包括IP、端口、MAC、主机名、程序信息、数据库连接信息。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系统从业务流程角度入手，结合核心数据特征，提供了高度集成的“事前+事中+事后”数据防护手段，该模块获得《信息化创新医疗服务模式》认证。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3"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w:t>
            </w:r>
            <w:r>
              <w:rPr>
                <w:rFonts w:hint="eastAsia" w:ascii="宋体" w:hAnsi="宋体" w:eastAsia="宋体" w:cs="宋体"/>
                <w:color w:val="000000" w:themeColor="text1"/>
                <w:sz w:val="21"/>
                <w:szCs w:val="21"/>
                <w:lang w:val="en-US" w:eastAsia="zh-CN"/>
                <w14:textFill>
                  <w14:solidFill>
                    <w14:schemeClr w14:val="tx1"/>
                  </w14:solidFill>
                </w14:textFill>
              </w:rPr>
              <w:t>AI人工智能对</w:t>
            </w:r>
            <w:r>
              <w:rPr>
                <w:rFonts w:hint="eastAsia" w:ascii="宋体" w:hAnsi="宋体" w:eastAsia="宋体" w:cs="宋体"/>
                <w:color w:val="000000" w:themeColor="text1"/>
                <w:sz w:val="21"/>
                <w:szCs w:val="21"/>
                <w14:textFill>
                  <w14:solidFill>
                    <w14:schemeClr w14:val="tx1"/>
                  </w14:solidFill>
                </w14:textFill>
              </w:rPr>
              <w:t>数据</w:t>
            </w:r>
            <w:r>
              <w:rPr>
                <w:rFonts w:hint="eastAsia" w:ascii="宋体" w:hAnsi="宋体" w:eastAsia="宋体" w:cs="宋体"/>
                <w:color w:val="000000" w:themeColor="text1"/>
                <w:sz w:val="21"/>
                <w:szCs w:val="21"/>
                <w:lang w:eastAsia="zh-CN"/>
                <w14:textFill>
                  <w14:solidFill>
                    <w14:schemeClr w14:val="tx1"/>
                  </w14:solidFill>
                </w14:textFill>
              </w:rPr>
              <w:t>进行</w:t>
            </w:r>
            <w:r>
              <w:rPr>
                <w:rFonts w:hint="eastAsia" w:ascii="宋体" w:hAnsi="宋体" w:eastAsia="宋体" w:cs="宋体"/>
                <w:color w:val="000000" w:themeColor="text1"/>
                <w:sz w:val="21"/>
                <w:szCs w:val="21"/>
                <w14:textFill>
                  <w14:solidFill>
                    <w14:schemeClr w14:val="tx1"/>
                  </w14:solidFill>
                </w14:textFill>
              </w:rPr>
              <w:t>分析，，并生成报告和相关建议规则反馈给用户，帮助用户加强医德医风行为管控。（提供医德医风</w:t>
            </w:r>
            <w:r>
              <w:rPr>
                <w:rFonts w:hint="eastAsia" w:ascii="宋体" w:hAnsi="宋体" w:eastAsia="宋体" w:cs="宋体"/>
                <w:color w:val="000000" w:themeColor="text1"/>
                <w:sz w:val="21"/>
                <w:szCs w:val="21"/>
                <w:lang w:val="en-US" w:eastAsia="zh-CN"/>
                <w14:textFill>
                  <w14:solidFill>
                    <w14:schemeClr w14:val="tx1"/>
                  </w14:solidFill>
                </w14:textFill>
              </w:rPr>
              <w:t>《软件著作权登记证书》</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5"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医院信息管理系统多层结构，提供全方位的三层（应用层、中间层、数据库层）的访问审计，三层关联必需支持自动关联，以提升关联准确度和审计人员追踪索源难度，同时需要支持手动关联，可以直接追踪到前端业务的操作人员IP地址、MAC地址和用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15"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抗菌药物中不少为贵重药品，可能存在药品使用回扣等腐败现象，需预留一定的接口，支持双向对接抗菌药物用量管理系统进行展示，具有抗菌药物用量管理系统《软件著作权登记证书》，支持对指定时间内全院抗菌药物品种、剂型、规格、使用量、使用金额，使用量和使用金额分别排名前N位的抗菌药物品种进行分析，以便医院了解可能存在回扣的药品，提供产品截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8"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支持医院各生产系统中财务数据、病人资料、药品信息、医院资产等核心数据的</w:t>
            </w:r>
            <w:r>
              <w:rPr>
                <w:rFonts w:hint="eastAsia" w:ascii="宋体" w:hAnsi="宋体" w:cs="宋体"/>
                <w:color w:val="000000" w:themeColor="text1"/>
                <w:sz w:val="21"/>
                <w:szCs w:val="21"/>
                <w:lang w:val="en-US" w:eastAsia="zh-CN"/>
                <w14:textFill>
                  <w14:solidFill>
                    <w14:schemeClr w14:val="tx1"/>
                  </w14:solidFill>
                </w14:textFill>
              </w:rPr>
              <w:t>操作</w:t>
            </w:r>
            <w:r>
              <w:rPr>
                <w:rFonts w:hint="eastAsia" w:ascii="宋体" w:hAnsi="宋体" w:eastAsia="宋体" w:cs="宋体"/>
                <w:color w:val="000000" w:themeColor="text1"/>
                <w:sz w:val="21"/>
                <w:szCs w:val="21"/>
                <w14:textFill>
                  <w14:solidFill>
                    <w14:schemeClr w14:val="tx1"/>
                  </w14:solidFill>
                </w14:textFill>
              </w:rPr>
              <w:t>审计监控</w:t>
            </w:r>
            <w:r>
              <w:rPr>
                <w:rFonts w:hint="eastAsia" w:ascii="宋体" w:hAnsi="宋体" w:cs="宋体"/>
                <w:color w:val="000000" w:themeColor="text1"/>
                <w:sz w:val="21"/>
                <w:szCs w:val="21"/>
                <w:lang w:eastAsia="zh-CN"/>
                <w14:textFill>
                  <w14:solidFill>
                    <w14:schemeClr w14:val="tx1"/>
                  </w14:solidFill>
                </w14:textFill>
              </w:rPr>
              <w:t>，该医院内部审计管理模块具有《软件著作权登记证书》</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能够出具针对纪委、监察室相关人员使用的审计报告（支持每天或多天生成统方审计报告，报告需简单明了，且具有主动将所有的计算机语言翻译成通俗易懂的自然语言的系统机制，支持将整条SQL语句翻译成中文，帮助医院建立基于内部网络的党风廉政、廉洁警示、院内敏感职权使用的防控专网，支持对接</w:t>
            </w:r>
            <w:r>
              <w:rPr>
                <w:rFonts w:hint="eastAsia" w:ascii="宋体" w:hAnsi="宋体" w:cs="宋体"/>
                <w:color w:val="000000" w:themeColor="text1"/>
                <w:sz w:val="21"/>
                <w:szCs w:val="21"/>
                <w:lang w:val="en-US" w:eastAsia="zh-CN"/>
                <w14:textFill>
                  <w14:solidFill>
                    <w14:schemeClr w14:val="tx1"/>
                  </w14:solidFill>
                </w14:textFill>
              </w:rPr>
              <w:t>清廉医院管理</w:t>
            </w:r>
            <w:r>
              <w:rPr>
                <w:rFonts w:hint="eastAsia" w:ascii="宋体" w:hAnsi="宋体" w:eastAsia="宋体" w:cs="宋体"/>
                <w:color w:val="000000" w:themeColor="text1"/>
                <w:sz w:val="21"/>
                <w:szCs w:val="21"/>
                <w14:textFill>
                  <w14:solidFill>
                    <w14:schemeClr w14:val="tx1"/>
                  </w14:solidFill>
                </w14:textFill>
              </w:rPr>
              <w:t>系统，具有</w:t>
            </w:r>
            <w:r>
              <w:rPr>
                <w:rFonts w:hint="eastAsia" w:ascii="宋体" w:hAnsi="宋体" w:cs="宋体"/>
                <w:color w:val="000000" w:themeColor="text1"/>
                <w:sz w:val="21"/>
                <w:szCs w:val="21"/>
                <w:lang w:val="en-US" w:eastAsia="zh-CN"/>
                <w14:textFill>
                  <w14:solidFill>
                    <w14:schemeClr w14:val="tx1"/>
                  </w14:solidFill>
                </w14:textFill>
              </w:rPr>
              <w:t>清廉医院</w:t>
            </w:r>
            <w:r>
              <w:rPr>
                <w:rFonts w:hint="eastAsia" w:ascii="宋体" w:hAnsi="宋体" w:eastAsia="宋体" w:cs="宋体"/>
                <w:color w:val="000000" w:themeColor="text1"/>
                <w:sz w:val="21"/>
                <w:szCs w:val="21"/>
                <w:lang w:val="en-US" w:eastAsia="zh-CN"/>
                <w14:textFill>
                  <w14:solidFill>
                    <w14:schemeClr w14:val="tx1"/>
                  </w14:solidFill>
                </w14:textFill>
              </w:rPr>
              <w:t>模块</w:t>
            </w:r>
            <w:r>
              <w:rPr>
                <w:rFonts w:hint="eastAsia" w:ascii="宋体" w:hAnsi="宋体" w:eastAsia="宋体" w:cs="宋体"/>
                <w:color w:val="000000" w:themeColor="text1"/>
                <w:sz w:val="21"/>
                <w:szCs w:val="21"/>
                <w14:textFill>
                  <w14:solidFill>
                    <w14:schemeClr w14:val="tx1"/>
                  </w14:solidFill>
                </w14:textFill>
              </w:rPr>
              <w:t>的《软件著作权登记证书》。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6"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▲具备防统方工作闭环管理机制，从个人报备--&gt;三级审核（信息部门、监察部分、院领导），系统可过滤报备过的统方事件--&gt;在统方事件定性后，可对统方事件进行归档，形成最终归档报表</w:t>
            </w:r>
            <w:r>
              <w:rPr>
                <w:rFonts w:hint="eastAsia" w:ascii="宋体" w:hAnsi="宋体" w:eastAsia="宋体" w:cs="宋体"/>
                <w:color w:val="000000" w:themeColor="text1"/>
                <w:sz w:val="21"/>
                <w:szCs w:val="21"/>
                <w:lang w:eastAsia="zh-CN"/>
                <w14:textFill>
                  <w14:solidFill>
                    <w14:schemeClr w14:val="tx1"/>
                  </w14:solidFill>
                </w14:textFill>
              </w:rPr>
              <w:t>，报表能永久保存</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4"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统方白名单权限的设置，可对授权统方行为的操作人员工号、操作类型、IP地址、客户端工具、操作系统用户名、主机名、MAC地址、SQL语句和操作的时间范围等条件进行设置，只有通过了授权和验证才可以获得统方权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4" w:hRule="atLeast"/>
          <w:jc w:val="center"/>
        </w:trPr>
        <w:tc>
          <w:tcPr>
            <w:tcW w:w="1087"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156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color w:val="000000" w:themeColor="text1"/>
                <w:sz w:val="21"/>
                <w:szCs w:val="21"/>
                <w14:textFill>
                  <w14:solidFill>
                    <w14:schemeClr w14:val="tx1"/>
                  </w14:solidFill>
                </w14:textFill>
              </w:rPr>
            </w:pP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支持对双向数据包的解析、识别及还原，不仅对请求进行实时监控，而且还可对返回结果进行完整的还原，根据非法统计医嘱\处方行为的特征实时告警。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1"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eastAsia="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3</w:t>
            </w:r>
          </w:p>
        </w:tc>
        <w:tc>
          <w:tcPr>
            <w:tcW w:w="156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sz w:val="21"/>
                <w:szCs w:val="21"/>
                <w14:textFill>
                  <w14:solidFill>
                    <w14:schemeClr w14:val="tx1"/>
                  </w14:solidFill>
                </w14:textFill>
              </w:rPr>
            </w:pPr>
            <w:r>
              <w:rPr>
                <w:rStyle w:val="7"/>
                <w:rFonts w:hint="eastAsia" w:ascii="宋体" w:hAnsi="宋体" w:eastAsia="宋体" w:cs="宋体"/>
                <w:b/>
                <w:bCs/>
                <w:color w:val="000000" w:themeColor="text1"/>
                <w:kern w:val="0"/>
                <w:sz w:val="21"/>
                <w:szCs w:val="21"/>
                <w14:textFill>
                  <w14:solidFill>
                    <w14:schemeClr w14:val="tx1"/>
                  </w14:solidFill>
                </w14:textFill>
              </w:rPr>
              <w:t>告警模块</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▲可根据用户自定义规则实时发出手机短信通知和邮件提醒等多种方式的告警信息，为了告警的及时性和稳定性，提供防统方专用短信平台模块（非SIM卡插入方式的短信模块，</w:t>
            </w:r>
            <w:r>
              <w:rPr>
                <w:rFonts w:hint="eastAsia" w:ascii="宋体" w:hAnsi="宋体" w:eastAsia="宋体" w:cs="宋体"/>
                <w:color w:val="000000" w:themeColor="text1"/>
                <w:sz w:val="21"/>
                <w:szCs w:val="21"/>
                <w:lang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含</w:t>
            </w:r>
            <w:r>
              <w:rPr>
                <w:rFonts w:hint="eastAsia" w:ascii="宋体" w:hAnsi="宋体" w:eastAsia="宋体" w:cs="宋体"/>
                <w:color w:val="000000" w:themeColor="text1"/>
                <w:sz w:val="21"/>
                <w:szCs w:val="21"/>
                <w:lang w:eastAsia="zh-CN"/>
                <w14:textFill>
                  <w14:solidFill>
                    <w14:schemeClr w14:val="tx1"/>
                  </w14:solidFill>
                </w14:textFill>
              </w:rPr>
              <w:t>所有</w:t>
            </w:r>
            <w:r>
              <w:rPr>
                <w:rFonts w:hint="eastAsia" w:ascii="宋体" w:hAnsi="宋体" w:eastAsia="宋体" w:cs="宋体"/>
                <w:color w:val="000000" w:themeColor="text1"/>
                <w:sz w:val="21"/>
                <w:szCs w:val="21"/>
                <w14:textFill>
                  <w14:solidFill>
                    <w14:schemeClr w14:val="tx1"/>
                  </w14:solidFill>
                </w14:textFill>
              </w:rPr>
              <w:t>短信费用），提供证明材料或厂家承诺函。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2"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4</w:t>
            </w:r>
          </w:p>
        </w:tc>
        <w:tc>
          <w:tcPr>
            <w:tcW w:w="156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eastAsia="宋体" w:cs="宋体"/>
                <w:b/>
                <w:bCs/>
                <w:color w:val="000000" w:themeColor="text1"/>
                <w:kern w:val="0"/>
                <w:sz w:val="21"/>
                <w:szCs w:val="21"/>
                <w:lang w:val="en-US" w:eastAsia="zh-CN"/>
                <w14:textFill>
                  <w14:solidFill>
                    <w14:schemeClr w14:val="tx1"/>
                  </w14:solidFill>
                </w14:textFill>
              </w:rPr>
            </w:pPr>
            <w:r>
              <w:rPr>
                <w:rStyle w:val="7"/>
                <w:rFonts w:hint="eastAsia" w:ascii="宋体" w:hAnsi="宋体" w:cs="宋体"/>
                <w:b/>
                <w:bCs/>
                <w:color w:val="000000" w:themeColor="text1"/>
                <w:kern w:val="0"/>
                <w:sz w:val="21"/>
                <w:szCs w:val="21"/>
                <w:lang w:val="en-US" w:eastAsia="zh-CN"/>
                <w14:textFill>
                  <w14:solidFill>
                    <w14:schemeClr w14:val="tx1"/>
                  </w14:solidFill>
                </w14:textFill>
              </w:rPr>
              <w:t>系统兼容</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▲系统应能完全兼容我院his系统，能</w:t>
            </w:r>
            <w:r>
              <w:rPr>
                <w:rFonts w:hint="eastAsia" w:ascii="宋体" w:hAnsi="宋体" w:cs="宋体"/>
                <w:color w:val="000000" w:themeColor="text1"/>
                <w:sz w:val="21"/>
                <w:szCs w:val="21"/>
                <w:lang w:eastAsia="zh-CN"/>
                <w14:textFill>
                  <w14:solidFill>
                    <w14:schemeClr w14:val="tx1"/>
                  </w14:solidFill>
                </w14:textFill>
              </w:rPr>
              <w:t>自动解析</w:t>
            </w:r>
            <w:r>
              <w:rPr>
                <w:rFonts w:hint="eastAsia" w:ascii="宋体" w:hAnsi="宋体" w:eastAsia="宋体" w:cs="宋体"/>
                <w:color w:val="000000" w:themeColor="text1"/>
                <w:sz w:val="21"/>
                <w:szCs w:val="21"/>
                <w14:textFill>
                  <w14:solidFill>
                    <w14:schemeClr w14:val="tx1"/>
                  </w14:solidFill>
                </w14:textFill>
              </w:rPr>
              <w:t>我院his系统</w:t>
            </w:r>
            <w:r>
              <w:rPr>
                <w:rFonts w:hint="eastAsia" w:ascii="宋体" w:hAnsi="宋体" w:cs="宋体"/>
                <w:color w:val="000000" w:themeColor="text1"/>
                <w:sz w:val="21"/>
                <w:szCs w:val="21"/>
                <w:lang w:eastAsia="zh-CN"/>
                <w14:textFill>
                  <w14:solidFill>
                    <w14:schemeClr w14:val="tx1"/>
                  </w14:solidFill>
                </w14:textFill>
              </w:rPr>
              <w:t>内置所有表、存储过程，能自动甄别哪些表或存储过程存在统方威胁，</w:t>
            </w:r>
            <w:r>
              <w:rPr>
                <w:rFonts w:hint="eastAsia" w:ascii="宋体" w:hAnsi="宋体" w:eastAsia="宋体" w:cs="宋体"/>
                <w:color w:val="000000" w:themeColor="text1"/>
                <w:sz w:val="21"/>
                <w:szCs w:val="21"/>
                <w14:textFill>
                  <w14:solidFill>
                    <w14:schemeClr w14:val="tx1"/>
                  </w14:solidFill>
                </w14:textFill>
              </w:rPr>
              <w:t>以保证统方数据无一遗漏。</w:t>
            </w:r>
            <w:r>
              <w:rPr>
                <w:rFonts w:hint="eastAsia" w:ascii="宋体" w:hAnsi="宋体" w:cs="宋体"/>
                <w:color w:val="000000" w:themeColor="text1"/>
                <w:sz w:val="21"/>
                <w:szCs w:val="21"/>
                <w:lang w:eastAsia="zh-CN"/>
                <w14:textFill>
                  <w14:solidFill>
                    <w14:schemeClr w14:val="tx1"/>
                  </w14:solidFill>
                </w14:textFill>
              </w:rPr>
              <w:t>报价应含有与</w:t>
            </w:r>
            <w:r>
              <w:rPr>
                <w:rFonts w:hint="eastAsia" w:ascii="宋体" w:hAnsi="宋体" w:cs="宋体"/>
                <w:color w:val="000000" w:themeColor="text1"/>
                <w:sz w:val="21"/>
                <w:szCs w:val="21"/>
                <w:lang w:val="en-US" w:eastAsia="zh-CN"/>
                <w14:textFill>
                  <w14:solidFill>
                    <w14:schemeClr w14:val="tx1"/>
                  </w14:solidFill>
                </w14:textFill>
              </w:rPr>
              <w:t>his系统接口费用，医院内网网络接入费用，我院不再单独支付第三方接口费及网络对接费。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5</w:t>
            </w:r>
          </w:p>
        </w:tc>
        <w:tc>
          <w:tcPr>
            <w:tcW w:w="156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cs="宋体"/>
                <w:b/>
                <w:bCs/>
                <w:color w:val="000000" w:themeColor="text1"/>
                <w:kern w:val="0"/>
                <w:sz w:val="21"/>
                <w:szCs w:val="21"/>
                <w:lang w:val="en-US" w:eastAsia="zh-CN"/>
                <w14:textFill>
                  <w14:solidFill>
                    <w14:schemeClr w14:val="tx1"/>
                  </w14:solidFill>
                </w14:textFill>
              </w:rPr>
            </w:pPr>
            <w:r>
              <w:rPr>
                <w:rStyle w:val="7"/>
                <w:rFonts w:hint="eastAsia" w:ascii="宋体" w:hAnsi="宋体" w:cs="宋体"/>
                <w:b/>
                <w:bCs/>
                <w:color w:val="000000" w:themeColor="text1"/>
                <w:kern w:val="0"/>
                <w:sz w:val="21"/>
                <w:szCs w:val="21"/>
                <w:lang w:val="en-US" w:eastAsia="zh-CN"/>
                <w14:textFill>
                  <w14:solidFill>
                    <w14:schemeClr w14:val="tx1"/>
                  </w14:solidFill>
                </w14:textFill>
              </w:rPr>
              <w:t>硬件要求</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0" w:leftChars="10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szCs w:val="21"/>
              </w:rPr>
              <w:t>标准机架式</w:t>
            </w:r>
            <w:r>
              <w:rPr>
                <w:rFonts w:hint="eastAsia" w:ascii="宋体" w:hAnsi="宋体"/>
                <w:szCs w:val="21"/>
                <w:lang w:val="en-US" w:eastAsia="zh-CN"/>
              </w:rPr>
              <w:t>1U</w:t>
            </w:r>
            <w:r>
              <w:rPr>
                <w:rFonts w:hint="eastAsia" w:ascii="宋体" w:hAnsi="宋体"/>
                <w:szCs w:val="21"/>
              </w:rPr>
              <w:t>设备</w:t>
            </w:r>
            <w:r>
              <w:rPr>
                <w:rFonts w:hint="eastAsia" w:ascii="宋体" w:hAnsi="宋体"/>
                <w:szCs w:val="21"/>
                <w:lang w:eastAsia="zh-CN"/>
              </w:rPr>
              <w:t>；</w:t>
            </w:r>
            <w:r>
              <w:rPr>
                <w:rFonts w:hint="eastAsia" w:ascii="宋体" w:hAnsi="宋体" w:eastAsia="宋体" w:cs="宋体"/>
                <w:color w:val="000000" w:themeColor="text1"/>
                <w14:textFill>
                  <w14:solidFill>
                    <w14:schemeClr w14:val="tx1"/>
                  </w14:solidFill>
                </w14:textFill>
              </w:rPr>
              <w:t>吞吐量：</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5000M</w:t>
            </w:r>
            <w:r>
              <w:rPr>
                <w:rFonts w:hint="eastAsia" w:ascii="宋体" w:hAnsi="宋体" w:eastAsia="宋体" w:cs="宋体"/>
                <w:color w:val="000000" w:themeColor="text1"/>
                <w14:textFill>
                  <w14:solidFill>
                    <w14:schemeClr w14:val="tx1"/>
                  </w14:solidFill>
                </w14:textFill>
              </w:rPr>
              <w:t>bps</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SQL事务数/秒：</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0,000</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接口：</w:t>
            </w:r>
            <w:r>
              <w:rPr>
                <w:rFonts w:hint="eastAsia"/>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10/100/1000M自适应电口 *6</w:t>
            </w:r>
            <w:r>
              <w:rPr>
                <w:rFonts w:hint="eastAsia" w:ascii="宋体" w:hAnsi="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运行内存：</w:t>
            </w:r>
            <w:r>
              <w:rPr>
                <w:rFonts w:hint="eastAsia"/>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4G；</w:t>
            </w:r>
            <w:r>
              <w:rPr>
                <w:rFonts w:hint="eastAsia" w:ascii="宋体" w:hAnsi="宋体" w:eastAsia="宋体" w:cs="宋体"/>
                <w:color w:val="000000" w:themeColor="text1"/>
                <w14:textFill>
                  <w14:solidFill>
                    <w14:schemeClr w14:val="tx1"/>
                  </w14:solidFill>
                </w14:textFill>
              </w:rPr>
              <w:t>存储容量：</w:t>
            </w:r>
            <w:r>
              <w:rPr>
                <w:rFonts w:hint="eastAsia"/>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2TB；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6</w:t>
            </w:r>
          </w:p>
        </w:tc>
        <w:tc>
          <w:tcPr>
            <w:tcW w:w="156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cs="宋体"/>
                <w:b/>
                <w:bCs/>
                <w:color w:val="000000" w:themeColor="text1"/>
                <w:kern w:val="0"/>
                <w:sz w:val="21"/>
                <w:szCs w:val="21"/>
                <w:lang w:val="en-US" w:eastAsia="zh-CN"/>
                <w14:textFill>
                  <w14:solidFill>
                    <w14:schemeClr w14:val="tx1"/>
                  </w14:solidFill>
                </w14:textFill>
              </w:rPr>
            </w:pPr>
            <w:r>
              <w:rPr>
                <w:rStyle w:val="7"/>
                <w:rFonts w:hint="eastAsia" w:ascii="宋体" w:hAnsi="宋体" w:cs="宋体"/>
                <w:b/>
                <w:bCs/>
                <w:color w:val="000000" w:themeColor="text1"/>
                <w:kern w:val="0"/>
                <w:sz w:val="21"/>
                <w:szCs w:val="21"/>
                <w:lang w:val="en-US" w:eastAsia="zh-CN"/>
                <w14:textFill>
                  <w14:solidFill>
                    <w14:schemeClr w14:val="tx1"/>
                  </w14:solidFill>
                </w14:textFill>
              </w:rPr>
              <w:t>售后要求</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系统提供至少</w:t>
            </w:r>
            <w:r>
              <w:rPr>
                <w:rFonts w:hint="eastAsia" w:ascii="宋体" w:hAnsi="宋体" w:cs="宋体"/>
                <w:color w:val="000000" w:themeColor="text1"/>
                <w:sz w:val="21"/>
                <w:szCs w:val="21"/>
                <w:lang w:val="en-US" w:eastAsia="zh-CN"/>
                <w14:textFill>
                  <w14:solidFill>
                    <w14:schemeClr w14:val="tx1"/>
                  </w14:solidFill>
                </w14:textFill>
              </w:rPr>
              <w:t>1年7x24小时原厂质保服务，且可根据医院要求提供现场驻场服务，报价需包含驻场人员费用。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default" w:ascii="宋体" w:hAnsi="宋体" w:cs="宋体"/>
                <w:color w:val="000000" w:themeColor="text1"/>
                <w:sz w:val="21"/>
                <w:szCs w:val="21"/>
                <w:lang w:val="en-US" w:eastAsia="zh-CN"/>
                <w14:textFill>
                  <w14:solidFill>
                    <w14:schemeClr w14:val="tx1"/>
                  </w14:solidFill>
                </w14:textFill>
              </w:rPr>
            </w:pPr>
            <w:r>
              <w:rPr>
                <w:rStyle w:val="7"/>
                <w:rFonts w:hint="eastAsia" w:ascii="宋体" w:hAnsi="宋体" w:cs="宋体"/>
                <w:color w:val="000000" w:themeColor="text1"/>
                <w:sz w:val="21"/>
                <w:szCs w:val="21"/>
                <w:lang w:val="en-US" w:eastAsia="zh-CN"/>
                <w14:textFill>
                  <w14:solidFill>
                    <w14:schemeClr w14:val="tx1"/>
                  </w14:solidFill>
                </w14:textFill>
              </w:rPr>
              <w:t>7</w:t>
            </w:r>
          </w:p>
        </w:tc>
        <w:tc>
          <w:tcPr>
            <w:tcW w:w="1569"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overflowPunct/>
              <w:topLinePunct w:val="0"/>
              <w:autoSpaceDE/>
              <w:autoSpaceDN/>
              <w:bidi w:val="0"/>
              <w:adjustRightInd/>
              <w:snapToGrid/>
              <w:spacing w:line="288" w:lineRule="auto"/>
              <w:jc w:val="center"/>
              <w:textAlignment w:val="auto"/>
              <w:rPr>
                <w:rStyle w:val="7"/>
                <w:rFonts w:hint="eastAsia" w:ascii="宋体" w:hAnsi="宋体" w:cs="宋体"/>
                <w:b/>
                <w:bCs/>
                <w:color w:val="000000" w:themeColor="text1"/>
                <w:kern w:val="0"/>
                <w:sz w:val="21"/>
                <w:szCs w:val="21"/>
                <w:lang w:val="en-US" w:eastAsia="zh-CN"/>
                <w14:textFill>
                  <w14:solidFill>
                    <w14:schemeClr w14:val="tx1"/>
                  </w14:solidFill>
                </w14:textFill>
              </w:rPr>
            </w:pPr>
            <w:r>
              <w:rPr>
                <w:rStyle w:val="7"/>
                <w:rFonts w:hint="eastAsia" w:ascii="宋体" w:hAnsi="宋体" w:cs="宋体"/>
                <w:b/>
                <w:bCs/>
                <w:color w:val="000000" w:themeColor="text1"/>
                <w:kern w:val="0"/>
                <w:sz w:val="21"/>
                <w:szCs w:val="21"/>
                <w:lang w:val="en-US" w:eastAsia="zh-CN"/>
                <w14:textFill>
                  <w14:solidFill>
                    <w14:schemeClr w14:val="tx1"/>
                  </w14:solidFill>
                </w14:textFill>
              </w:rPr>
              <w:t>其他要求</w:t>
            </w:r>
          </w:p>
        </w:tc>
        <w:tc>
          <w:tcPr>
            <w:tcW w:w="7043" w:type="dxa"/>
            <w:tcBorders>
              <w:top w:val="single" w:color="000000" w:sz="6" w:space="0"/>
              <w:left w:val="single" w:color="000000" w:sz="6" w:space="0"/>
              <w:bottom w:val="single" w:color="000000" w:sz="6" w:space="0"/>
              <w:right w:val="single" w:color="000000" w:sz="6" w:space="0"/>
            </w:tcBorders>
            <w:vAlign w:val="top"/>
          </w:tcPr>
          <w:p>
            <w:pPr>
              <w:keepNext w:val="0"/>
              <w:keepLines w:val="0"/>
              <w:pageBreakBefore w:val="0"/>
              <w:kinsoku/>
              <w:overflowPunct/>
              <w:topLinePunct w:val="0"/>
              <w:autoSpaceDE/>
              <w:autoSpaceDN/>
              <w:bidi w:val="0"/>
              <w:adjustRightInd/>
              <w:snapToGrid/>
              <w:spacing w:line="288" w:lineRule="auto"/>
              <w:ind w:left="218" w:leftChars="104" w:firstLine="0" w:firstLineChars="0"/>
              <w:jc w:val="both"/>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eastAsia="zh-CN"/>
                <w14:textFill>
                  <w14:solidFill>
                    <w14:schemeClr w14:val="tx1"/>
                  </w14:solidFill>
                </w14:textFill>
              </w:rPr>
              <w:t>系统应终身免费开放二次开发，随时可根据医院需求进行驻场二次开发，不得再另外收取其他费用。</w:t>
            </w:r>
            <w:bookmarkStart w:id="0" w:name="_GoBack"/>
            <w:bookmarkEnd w:id="0"/>
          </w:p>
        </w:tc>
      </w:tr>
    </w:tbl>
    <w:p>
      <w:pPr>
        <w:pStyle w:val="2"/>
        <w:jc w:val="center"/>
        <w:rPr>
          <w:rFonts w:hint="eastAsia"/>
          <w:lang w:val="en-US" w:eastAsia="zh-CN"/>
        </w:rPr>
      </w:pPr>
    </w:p>
    <w:p>
      <w:pPr>
        <w:pStyle w:val="2"/>
        <w:jc w:val="center"/>
        <w:rPr>
          <w:rFonts w:hint="eastAsia"/>
          <w:lang w:val="en-US" w:eastAsia="zh-CN"/>
        </w:rPr>
      </w:pPr>
      <w:r>
        <w:rPr>
          <w:rFonts w:hint="eastAsia"/>
          <w:lang w:val="en-US" w:eastAsia="zh-CN"/>
        </w:rPr>
        <w:t>申请人信息表</w:t>
      </w:r>
    </w:p>
    <w:tbl>
      <w:tblPr>
        <w:tblStyle w:val="5"/>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929"/>
        <w:gridCol w:w="1476"/>
        <w:gridCol w:w="968"/>
        <w:gridCol w:w="769"/>
        <w:gridCol w:w="1134"/>
        <w:gridCol w:w="59"/>
        <w:gridCol w:w="1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申请人名称</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注册地址</w:t>
            </w:r>
          </w:p>
        </w:tc>
        <w:tc>
          <w:tcPr>
            <w:tcW w:w="4142" w:type="dxa"/>
            <w:gridSpan w:val="4"/>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邮政编码</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联系方式</w:t>
            </w:r>
          </w:p>
        </w:tc>
        <w:tc>
          <w:tcPr>
            <w:tcW w:w="929" w:type="dxa"/>
            <w:noWrap w:val="0"/>
            <w:vAlign w:val="center"/>
          </w:tcPr>
          <w:p>
            <w:pPr>
              <w:widowControl/>
              <w:jc w:val="center"/>
              <w:rPr>
                <w:rFonts w:hint="eastAsia"/>
                <w:bCs/>
                <w:kern w:val="0"/>
                <w:sz w:val="24"/>
                <w:szCs w:val="20"/>
              </w:rPr>
            </w:pPr>
            <w:r>
              <w:rPr>
                <w:rFonts w:hint="eastAsia"/>
                <w:bCs/>
                <w:kern w:val="0"/>
                <w:sz w:val="24"/>
                <w:szCs w:val="20"/>
              </w:rPr>
              <w:t>联系人</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法定代表人</w:t>
            </w:r>
          </w:p>
        </w:tc>
        <w:tc>
          <w:tcPr>
            <w:tcW w:w="929" w:type="dxa"/>
            <w:noWrap w:val="0"/>
            <w:vAlign w:val="center"/>
          </w:tcPr>
          <w:p>
            <w:pPr>
              <w:widowControl/>
              <w:jc w:val="center"/>
              <w:rPr>
                <w:rFonts w:hint="eastAsia"/>
                <w:bCs/>
                <w:kern w:val="0"/>
                <w:sz w:val="24"/>
                <w:szCs w:val="20"/>
              </w:rPr>
            </w:pPr>
            <w:r>
              <w:rPr>
                <w:rFonts w:hint="eastAsia"/>
                <w:bCs/>
                <w:kern w:val="0"/>
                <w:sz w:val="24"/>
                <w:szCs w:val="20"/>
              </w:rPr>
              <w:t>姓</w:t>
            </w:r>
            <w:r>
              <w:rPr>
                <w:rFonts w:hint="eastAsia"/>
                <w:bCs/>
                <w:kern w:val="0"/>
                <w:sz w:val="24"/>
                <w:szCs w:val="20"/>
                <w:lang w:val="en-US" w:eastAsia="zh-CN"/>
              </w:rPr>
              <w:t xml:space="preserve"> </w:t>
            </w:r>
            <w:r>
              <w:rPr>
                <w:rFonts w:hint="eastAsia"/>
                <w:bCs/>
                <w:kern w:val="0"/>
                <w:sz w:val="24"/>
                <w:szCs w:val="20"/>
              </w:rPr>
              <w:t>名</w:t>
            </w:r>
          </w:p>
        </w:tc>
        <w:tc>
          <w:tcPr>
            <w:tcW w:w="3213" w:type="dxa"/>
            <w:gridSpan w:val="3"/>
            <w:noWrap w:val="0"/>
            <w:vAlign w:val="center"/>
          </w:tcPr>
          <w:p>
            <w:pPr>
              <w:widowControl/>
              <w:jc w:val="center"/>
              <w:rPr>
                <w:rFonts w:hint="eastAsia"/>
                <w:bCs/>
                <w:kern w:val="0"/>
                <w:sz w:val="24"/>
                <w:szCs w:val="20"/>
              </w:rPr>
            </w:pPr>
          </w:p>
        </w:tc>
        <w:tc>
          <w:tcPr>
            <w:tcW w:w="1193" w:type="dxa"/>
            <w:gridSpan w:val="2"/>
            <w:noWrap w:val="0"/>
            <w:vAlign w:val="center"/>
          </w:tcPr>
          <w:p>
            <w:pPr>
              <w:widowControl/>
              <w:jc w:val="center"/>
              <w:rPr>
                <w:rFonts w:hint="eastAsia"/>
                <w:bCs/>
                <w:kern w:val="0"/>
                <w:sz w:val="24"/>
                <w:szCs w:val="20"/>
              </w:rPr>
            </w:pPr>
            <w:r>
              <w:rPr>
                <w:rFonts w:hint="eastAsia"/>
                <w:bCs/>
                <w:kern w:val="0"/>
                <w:sz w:val="24"/>
                <w:szCs w:val="20"/>
              </w:rPr>
              <w:t>联系电话</w:t>
            </w:r>
          </w:p>
        </w:tc>
        <w:tc>
          <w:tcPr>
            <w:tcW w:w="1537" w:type="dxa"/>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成立时间</w:t>
            </w:r>
          </w:p>
        </w:tc>
        <w:tc>
          <w:tcPr>
            <w:tcW w:w="2405" w:type="dxa"/>
            <w:gridSpan w:val="2"/>
            <w:noWrap w:val="0"/>
            <w:vAlign w:val="center"/>
          </w:tcPr>
          <w:p>
            <w:pPr>
              <w:widowControl/>
              <w:jc w:val="center"/>
              <w:rPr>
                <w:rFonts w:hint="eastAsia"/>
                <w:bCs/>
                <w:kern w:val="0"/>
                <w:sz w:val="24"/>
                <w:szCs w:val="20"/>
              </w:rPr>
            </w:pPr>
          </w:p>
        </w:tc>
        <w:tc>
          <w:tcPr>
            <w:tcW w:w="4467" w:type="dxa"/>
            <w:gridSpan w:val="5"/>
            <w:noWrap w:val="0"/>
            <w:vAlign w:val="center"/>
          </w:tcPr>
          <w:p>
            <w:pPr>
              <w:widowControl/>
              <w:jc w:val="center"/>
              <w:rPr>
                <w:rFonts w:hint="eastAsia"/>
                <w:bCs/>
                <w:kern w:val="0"/>
                <w:sz w:val="24"/>
                <w:szCs w:val="20"/>
              </w:rPr>
            </w:pPr>
            <w:r>
              <w:rPr>
                <w:rFonts w:hint="eastAsia"/>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企业资质等级</w:t>
            </w:r>
          </w:p>
        </w:tc>
        <w:tc>
          <w:tcPr>
            <w:tcW w:w="2405" w:type="dxa"/>
            <w:gridSpan w:val="2"/>
            <w:noWrap w:val="0"/>
            <w:vAlign w:val="center"/>
          </w:tcPr>
          <w:p>
            <w:pPr>
              <w:widowControl/>
              <w:jc w:val="center"/>
              <w:rPr>
                <w:rFonts w:hint="eastAsia"/>
                <w:bCs/>
                <w:kern w:val="0"/>
                <w:sz w:val="24"/>
                <w:szCs w:val="20"/>
              </w:rPr>
            </w:pPr>
          </w:p>
        </w:tc>
        <w:tc>
          <w:tcPr>
            <w:tcW w:w="968" w:type="dxa"/>
            <w:vMerge w:val="restart"/>
            <w:noWrap w:val="0"/>
            <w:vAlign w:val="center"/>
          </w:tcPr>
          <w:p>
            <w:pPr>
              <w:widowControl/>
              <w:jc w:val="center"/>
              <w:rPr>
                <w:rFonts w:hint="eastAsia"/>
                <w:bCs/>
                <w:kern w:val="0"/>
                <w:sz w:val="24"/>
                <w:szCs w:val="20"/>
              </w:rPr>
            </w:pPr>
            <w:r>
              <w:rPr>
                <w:rFonts w:hint="eastAsia"/>
                <w:bCs/>
                <w:kern w:val="0"/>
                <w:sz w:val="24"/>
                <w:szCs w:val="20"/>
              </w:rPr>
              <w:t>其中</w:t>
            </w: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项目经理</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统一社会信用代码</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高级职称人员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注册资金</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中级职称人员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开户银行</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初级职称人员</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账号</w:t>
            </w:r>
          </w:p>
        </w:tc>
        <w:tc>
          <w:tcPr>
            <w:tcW w:w="2405" w:type="dxa"/>
            <w:gridSpan w:val="2"/>
            <w:noWrap w:val="0"/>
            <w:vAlign w:val="center"/>
          </w:tcPr>
          <w:p>
            <w:pPr>
              <w:widowControl/>
              <w:jc w:val="center"/>
              <w:rPr>
                <w:rFonts w:hint="eastAsia"/>
                <w:bCs/>
                <w:kern w:val="0"/>
                <w:sz w:val="24"/>
                <w:szCs w:val="20"/>
              </w:rPr>
            </w:pPr>
          </w:p>
        </w:tc>
        <w:tc>
          <w:tcPr>
            <w:tcW w:w="968" w:type="dxa"/>
            <w:vMerge w:val="continue"/>
            <w:noWrap w:val="0"/>
            <w:vAlign w:val="center"/>
          </w:tcPr>
          <w:p>
            <w:pPr>
              <w:widowControl/>
              <w:jc w:val="center"/>
              <w:rPr>
                <w:rFonts w:hint="eastAsia"/>
                <w:bCs/>
                <w:kern w:val="0"/>
                <w:sz w:val="24"/>
                <w:szCs w:val="20"/>
              </w:rPr>
            </w:pPr>
          </w:p>
        </w:tc>
        <w:tc>
          <w:tcPr>
            <w:tcW w:w="1903" w:type="dxa"/>
            <w:gridSpan w:val="2"/>
            <w:noWrap w:val="0"/>
            <w:vAlign w:val="center"/>
          </w:tcPr>
          <w:p>
            <w:pPr>
              <w:widowControl/>
              <w:jc w:val="center"/>
              <w:rPr>
                <w:rFonts w:hint="eastAsia"/>
                <w:bCs/>
                <w:kern w:val="0"/>
                <w:sz w:val="24"/>
                <w:szCs w:val="20"/>
              </w:rPr>
            </w:pPr>
            <w:r>
              <w:rPr>
                <w:rFonts w:hint="eastAsia"/>
                <w:bCs/>
                <w:kern w:val="0"/>
                <w:sz w:val="24"/>
                <w:szCs w:val="20"/>
              </w:rPr>
              <w:t>技工</w:t>
            </w:r>
          </w:p>
        </w:tc>
        <w:tc>
          <w:tcPr>
            <w:tcW w:w="1596" w:type="dxa"/>
            <w:gridSpan w:val="2"/>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827" w:type="dxa"/>
            <w:noWrap w:val="0"/>
            <w:vAlign w:val="center"/>
          </w:tcPr>
          <w:p>
            <w:pPr>
              <w:widowControl/>
              <w:jc w:val="center"/>
              <w:rPr>
                <w:rFonts w:hint="eastAsia"/>
                <w:bCs/>
                <w:kern w:val="0"/>
                <w:sz w:val="24"/>
                <w:szCs w:val="20"/>
              </w:rPr>
            </w:pPr>
            <w:r>
              <w:rPr>
                <w:rFonts w:hint="eastAsia"/>
                <w:bCs/>
                <w:kern w:val="0"/>
                <w:sz w:val="24"/>
                <w:szCs w:val="20"/>
              </w:rPr>
              <w:t>经营范围</w:t>
            </w:r>
          </w:p>
        </w:tc>
        <w:tc>
          <w:tcPr>
            <w:tcW w:w="6872" w:type="dxa"/>
            <w:gridSpan w:val="7"/>
            <w:noWrap w:val="0"/>
            <w:vAlign w:val="center"/>
          </w:tcPr>
          <w:p>
            <w:pPr>
              <w:widowControl/>
              <w:jc w:val="center"/>
              <w:rPr>
                <w:rFonts w:hint="eastAsia"/>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27" w:type="dxa"/>
            <w:noWrap w:val="0"/>
            <w:vAlign w:val="center"/>
          </w:tcPr>
          <w:p>
            <w:pPr>
              <w:widowControl/>
              <w:jc w:val="center"/>
              <w:rPr>
                <w:rFonts w:hint="eastAsia" w:eastAsia="宋体"/>
                <w:bCs/>
                <w:kern w:val="0"/>
                <w:sz w:val="24"/>
                <w:szCs w:val="20"/>
                <w:lang w:eastAsia="zh-CN"/>
              </w:rPr>
            </w:pPr>
            <w:r>
              <w:rPr>
                <w:rFonts w:hint="eastAsia"/>
                <w:bCs/>
                <w:kern w:val="0"/>
                <w:sz w:val="24"/>
                <w:szCs w:val="20"/>
                <w:lang w:eastAsia="zh-CN"/>
              </w:rPr>
              <w:t>类似项目成功案例</w:t>
            </w:r>
          </w:p>
        </w:tc>
        <w:tc>
          <w:tcPr>
            <w:tcW w:w="6872" w:type="dxa"/>
            <w:gridSpan w:val="7"/>
            <w:noWrap w:val="0"/>
            <w:vAlign w:val="center"/>
          </w:tcPr>
          <w:p>
            <w:pPr>
              <w:widowControl/>
              <w:jc w:val="center"/>
              <w:rPr>
                <w:rFonts w:hint="eastAsia"/>
                <w:bCs/>
                <w:kern w:val="0"/>
                <w:sz w:val="24"/>
                <w:szCs w:val="20"/>
              </w:rPr>
            </w:pPr>
          </w:p>
        </w:tc>
      </w:tr>
    </w:tbl>
    <w:p>
      <w:pPr>
        <w:pStyle w:val="3"/>
        <w:rPr>
          <w:rFonts w:hint="eastAsia"/>
          <w:lang w:val="en-US" w:eastAsia="zh-CN"/>
        </w:rPr>
      </w:pPr>
    </w:p>
    <w:sectPr>
      <w:pgSz w:w="11906" w:h="16838"/>
      <w:pgMar w:top="850" w:right="180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0313E"/>
    <w:rsid w:val="0DDA79CF"/>
    <w:rsid w:val="192A4445"/>
    <w:rsid w:val="2AEA7214"/>
    <w:rsid w:val="36F41DCD"/>
    <w:rsid w:val="46737CEE"/>
    <w:rsid w:val="5360313E"/>
    <w:rsid w:val="5C450EEE"/>
    <w:rsid w:val="6292553D"/>
    <w:rsid w:val="696C2356"/>
    <w:rsid w:val="6E6747C0"/>
    <w:rsid w:val="7F902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heme="minorBidi"/>
      <w:kern w:val="2"/>
      <w:sz w:val="21"/>
      <w:lang w:val="en-US" w:eastAsia="zh-CN" w:bidi="ar-SA"/>
    </w:rPr>
  </w:style>
  <w:style w:type="paragraph" w:styleId="2">
    <w:name w:val="heading 1"/>
    <w:basedOn w:val="1"/>
    <w:next w:val="3"/>
    <w:qFormat/>
    <w:uiPriority w:val="0"/>
    <w:pPr>
      <w:keepNext/>
      <w:keepLines/>
      <w:spacing w:before="340" w:beforeLines="0" w:after="330" w:afterLines="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First Indent 2"/>
    <w:basedOn w:val="4"/>
    <w:qFormat/>
    <w:uiPriority w:val="0"/>
    <w:pPr>
      <w:ind w:left="0" w:leftChars="0" w:firstLine="200" w:firstLineChars="200"/>
      <w:jc w:val="left"/>
    </w:pPr>
    <w:rPr>
      <w:rFonts w:ascii="宋体" w:hAnsi="宋体"/>
    </w:rPr>
  </w:style>
  <w:style w:type="paragraph" w:styleId="4">
    <w:name w:val="Body Text Indent"/>
    <w:basedOn w:val="1"/>
    <w:qFormat/>
    <w:uiPriority w:val="99"/>
    <w:pPr>
      <w:ind w:firstLine="830" w:firstLineChars="352"/>
    </w:pPr>
    <w:rPr>
      <w:rFonts w:ascii="仿宋_GB2312" w:hAnsi="Calibri" w:eastAsia="仿宋_GB2312"/>
      <w:kern w:val="0"/>
      <w:sz w:val="32"/>
      <w:szCs w:val="20"/>
    </w:rPr>
  </w:style>
  <w:style w:type="character" w:customStyle="1" w:styleId="7">
    <w:name w:val="NormalCharacter"/>
    <w:link w:val="8"/>
    <w:semiHidden/>
    <w:qFormat/>
    <w:uiPriority w:val="0"/>
  </w:style>
  <w:style w:type="paragraph" w:customStyle="1" w:styleId="8">
    <w:name w:val="UserStyle_3"/>
    <w:basedOn w:val="1"/>
    <w:link w:val="7"/>
    <w:qFormat/>
    <w:uiPriority w:val="0"/>
    <w:pPr>
      <w:spacing w:after="16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2021-08-20T01:37:00Z</dcterms:created>
  <dc:creator>LY</dc:creator>
  <cp:lastModifiedBy>钟先生</cp:lastModifiedBy>
  <dcterms:modified xsi:type="dcterms:W3CDTF">2021-09-26T09:49:41Z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DE076724E139476299D905CC1D9E148A</vt:lpwstr>
  </property>
</Properties>
</file>