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0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9"/>
        <w:gridCol w:w="1311"/>
        <w:gridCol w:w="58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jc w:val="center"/>
        </w:trPr>
        <w:tc>
          <w:tcPr>
            <w:tcW w:w="909"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r>
              <w:rPr>
                <w:rStyle w:val="7"/>
                <w:rFonts w:hint="eastAsia" w:ascii="宋体" w:hAnsi="宋体" w:eastAsia="宋体" w:cs="宋体"/>
                <w:color w:val="000000" w:themeColor="text1"/>
                <w:sz w:val="21"/>
                <w:szCs w:val="21"/>
                <w14:textFill>
                  <w14:solidFill>
                    <w14:schemeClr w14:val="tx1"/>
                  </w14:solidFill>
                </w14:textFill>
              </w:rPr>
              <w:t>1</w:t>
            </w:r>
          </w:p>
        </w:tc>
        <w:tc>
          <w:tcPr>
            <w:tcW w:w="1311"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r>
              <w:rPr>
                <w:rStyle w:val="7"/>
                <w:rFonts w:hint="eastAsia" w:ascii="宋体" w:hAnsi="宋体" w:eastAsia="宋体" w:cs="宋体"/>
                <w:b/>
                <w:bCs/>
                <w:color w:val="000000" w:themeColor="text1"/>
                <w:sz w:val="21"/>
                <w:szCs w:val="21"/>
                <w14:textFill>
                  <w14:solidFill>
                    <w14:schemeClr w14:val="tx1"/>
                  </w14:solidFill>
                </w14:textFill>
              </w:rPr>
              <w:t>系统架构</w:t>
            </w: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管理、使用用户权限分开，相应权限的用户只能查看、管理相应的系统功能，责任明确。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系统支持双密码用户。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所有系统数据都支持加密传输，防止信息外泄。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系统的时间可以和关键服务器中的数据库的时间进行同步，确保记录时间的一致性。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具备用户行为记录功能，记录用户所有的操作（业务访问、系统维护、策略配置等）。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系统配置文件支持导入、导出。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采用B/S架构，提供中文WEB管理界面以便于管理。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支持集群,系统支持冗余备份。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系统内置故障排错系统，判断故障所在，帮助管理人员快速排查问题。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3" w:hRule="atLeast"/>
          <w:jc w:val="center"/>
        </w:trPr>
        <w:tc>
          <w:tcPr>
            <w:tcW w:w="909"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420" w:leftChars="-600" w:right="254" w:rightChars="121" w:hanging="840" w:hangingChars="400"/>
              <w:jc w:val="center"/>
              <w:textAlignment w:val="auto"/>
              <w:rPr>
                <w:rStyle w:val="7"/>
                <w:rFonts w:hint="eastAsia" w:ascii="宋体" w:hAnsi="宋体" w:eastAsia="宋体" w:cs="宋体"/>
                <w:color w:val="000000" w:themeColor="text1"/>
                <w:sz w:val="21"/>
                <w:szCs w:val="21"/>
                <w14:textFill>
                  <w14:solidFill>
                    <w14:schemeClr w14:val="tx1"/>
                  </w14:solidFill>
                </w14:textFill>
              </w:rPr>
            </w:pPr>
            <w:r>
              <w:rPr>
                <w:rStyle w:val="7"/>
                <w:rFonts w:hint="eastAsia" w:ascii="宋体" w:hAnsi="宋体" w:eastAsia="宋体" w:cs="宋体"/>
                <w:color w:val="000000" w:themeColor="text1"/>
                <w:sz w:val="21"/>
                <w:szCs w:val="21"/>
                <w14:textFill>
                  <w14:solidFill>
                    <w14:schemeClr w14:val="tx1"/>
                  </w14:solidFill>
                </w14:textFill>
              </w:rPr>
              <w:t>2</w:t>
            </w:r>
          </w:p>
        </w:tc>
        <w:tc>
          <w:tcPr>
            <w:tcW w:w="1311"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r>
              <w:rPr>
                <w:rStyle w:val="7"/>
                <w:rFonts w:hint="eastAsia" w:ascii="宋体" w:hAnsi="宋体" w:eastAsia="宋体" w:cs="宋体"/>
                <w:b/>
                <w:bCs/>
                <w:color w:val="000000" w:themeColor="text1"/>
                <w:sz w:val="21"/>
                <w:szCs w:val="21"/>
                <w14:textFill>
                  <w14:solidFill>
                    <w14:schemeClr w14:val="tx1"/>
                  </w14:solidFill>
                </w14:textFill>
              </w:rPr>
              <w:t>防统方模块</w:t>
            </w: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内置防统方知识库，且具有独立自主统方学习功能，</w:t>
            </w:r>
            <w:r>
              <w:rPr>
                <w:rFonts w:hint="eastAsia" w:ascii="宋体" w:hAnsi="宋体" w:cs="宋体"/>
                <w:color w:val="000000" w:themeColor="text1"/>
                <w:sz w:val="21"/>
                <w:szCs w:val="21"/>
                <w:lang w:val="en-US" w:eastAsia="zh-CN"/>
                <w14:textFill>
                  <w14:solidFill>
                    <w14:schemeClr w14:val="tx1"/>
                  </w14:solidFill>
                </w14:textFill>
              </w:rPr>
              <w:t>帮助医院</w:t>
            </w:r>
            <w:r>
              <w:rPr>
                <w:rFonts w:hint="eastAsia" w:ascii="宋体" w:hAnsi="宋体" w:eastAsia="宋体" w:cs="宋体"/>
                <w:color w:val="000000" w:themeColor="text1"/>
                <w:sz w:val="21"/>
                <w:szCs w:val="21"/>
                <w14:textFill>
                  <w14:solidFill>
                    <w14:schemeClr w14:val="tx1"/>
                  </w14:solidFill>
                </w14:textFill>
              </w:rPr>
              <w:t>深化党风廉政建设和反腐败工作,规范药品统计权限管理。支持对接医</w:t>
            </w:r>
            <w:r>
              <w:rPr>
                <w:rFonts w:hint="eastAsia" w:ascii="宋体" w:hAnsi="宋体" w:cs="宋体"/>
                <w:color w:val="000000" w:themeColor="text1"/>
                <w:sz w:val="21"/>
                <w:szCs w:val="21"/>
                <w:lang w:val="en-US" w:eastAsia="zh-CN"/>
                <w14:textFill>
                  <w14:solidFill>
                    <w14:schemeClr w14:val="tx1"/>
                  </w14:solidFill>
                </w14:textFill>
              </w:rPr>
              <w:t>院智慧党建平台进行管理</w:t>
            </w:r>
            <w:r>
              <w:rPr>
                <w:rFonts w:hint="eastAsia" w:ascii="宋体" w:hAnsi="宋体" w:eastAsia="宋体" w:cs="宋体"/>
                <w:color w:val="000000" w:themeColor="text1"/>
                <w:sz w:val="21"/>
                <w:szCs w:val="21"/>
                <w14:textFill>
                  <w14:solidFill>
                    <w14:schemeClr w14:val="tx1"/>
                  </w14:solidFill>
                </w14:textFill>
              </w:rPr>
              <w:t>，具有该</w:t>
            </w:r>
            <w:r>
              <w:rPr>
                <w:rFonts w:hint="eastAsia" w:ascii="宋体" w:hAnsi="宋体" w:cs="宋体"/>
                <w:color w:val="000000" w:themeColor="text1"/>
                <w:sz w:val="21"/>
                <w:szCs w:val="21"/>
                <w:lang w:val="en-US" w:eastAsia="zh-CN"/>
                <w14:textFill>
                  <w14:solidFill>
                    <w14:schemeClr w14:val="tx1"/>
                  </w14:solidFill>
                </w14:textFill>
              </w:rPr>
              <w:t>智慧党建</w:t>
            </w:r>
            <w:r>
              <w:rPr>
                <w:rFonts w:hint="eastAsia" w:ascii="宋体" w:hAnsi="宋体" w:eastAsia="宋体" w:cs="宋体"/>
                <w:color w:val="000000" w:themeColor="text1"/>
                <w:sz w:val="21"/>
                <w:szCs w:val="21"/>
                <w14:textFill>
                  <w14:solidFill>
                    <w14:schemeClr w14:val="tx1"/>
                  </w14:solidFill>
                </w14:textFill>
              </w:rPr>
              <w:t>对接模块的《软件著作权登记证书》。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5"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旁路部署，不需要更改现有网络结构、服务器相关配置，系统运行不得影响现有网络和业务的正常运行。系统能独立完成审计数据采集</w:t>
            </w:r>
            <w:r>
              <w:rPr>
                <w:rFonts w:hint="eastAsia" w:ascii="宋体" w:hAnsi="宋体" w:eastAsia="宋体" w:cs="宋体"/>
                <w:color w:val="000000" w:themeColor="text1"/>
                <w:sz w:val="21"/>
                <w:szCs w:val="21"/>
                <w:lang w:val="en-US" w:eastAsia="zh-CN"/>
                <w14:textFill>
                  <w14:solidFill>
                    <w14:schemeClr w14:val="tx1"/>
                  </w14:solidFill>
                </w14:textFill>
              </w:rPr>
              <w:t>和防统方告警</w:t>
            </w:r>
            <w:r>
              <w:rPr>
                <w:rFonts w:hint="eastAsia" w:ascii="宋体" w:hAnsi="宋体" w:eastAsia="宋体" w:cs="宋体"/>
                <w:color w:val="000000" w:themeColor="text1"/>
                <w:sz w:val="21"/>
                <w:szCs w:val="21"/>
                <w14:textFill>
                  <w14:solidFill>
                    <w14:schemeClr w14:val="tx1"/>
                  </w14:solidFill>
                </w14:textFill>
              </w:rPr>
              <w:t>，不依赖于数据库自身审计日志系统，不得在现有服务器上安装可能带来风险的程序。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分析可疑对象的信息，包括IP、端口、MAC、主机名、程序信息、数据库连接信息。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3"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系统从业务流程角度入手，结合核心数据特征，提供了高度集成的“事前+事中+事后”数据防护手段，该模块获得《信息化创新医疗服务模式》认证。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w:t>
            </w:r>
            <w:r>
              <w:rPr>
                <w:rFonts w:hint="eastAsia" w:ascii="宋体" w:hAnsi="宋体" w:eastAsia="宋体" w:cs="宋体"/>
                <w:color w:val="000000" w:themeColor="text1"/>
                <w:sz w:val="21"/>
                <w:szCs w:val="21"/>
                <w:lang w:val="en-US" w:eastAsia="zh-CN"/>
                <w14:textFill>
                  <w14:solidFill>
                    <w14:schemeClr w14:val="tx1"/>
                  </w14:solidFill>
                </w14:textFill>
              </w:rPr>
              <w:t>AI人工智能对</w:t>
            </w:r>
            <w:r>
              <w:rPr>
                <w:rFonts w:hint="eastAsia" w:ascii="宋体" w:hAnsi="宋体" w:eastAsia="宋体" w:cs="宋体"/>
                <w:color w:val="000000" w:themeColor="text1"/>
                <w:sz w:val="21"/>
                <w:szCs w:val="21"/>
                <w14:textFill>
                  <w14:solidFill>
                    <w14:schemeClr w14:val="tx1"/>
                  </w14:solidFill>
                </w14:textFill>
              </w:rPr>
              <w:t>数据</w:t>
            </w:r>
            <w:r>
              <w:rPr>
                <w:rFonts w:hint="eastAsia" w:ascii="宋体" w:hAnsi="宋体" w:eastAsia="宋体" w:cs="宋体"/>
                <w:color w:val="000000" w:themeColor="text1"/>
                <w:sz w:val="21"/>
                <w:szCs w:val="21"/>
                <w:lang w:eastAsia="zh-CN"/>
                <w14:textFill>
                  <w14:solidFill>
                    <w14:schemeClr w14:val="tx1"/>
                  </w14:solidFill>
                </w14:textFill>
              </w:rPr>
              <w:t>进行</w:t>
            </w:r>
            <w:r>
              <w:rPr>
                <w:rFonts w:hint="eastAsia" w:ascii="宋体" w:hAnsi="宋体" w:eastAsia="宋体" w:cs="宋体"/>
                <w:color w:val="000000" w:themeColor="text1"/>
                <w:sz w:val="21"/>
                <w:szCs w:val="21"/>
                <w14:textFill>
                  <w14:solidFill>
                    <w14:schemeClr w14:val="tx1"/>
                  </w14:solidFill>
                </w14:textFill>
              </w:rPr>
              <w:t>分析，并生成报告和相关建议规则反馈给用户，帮助用户加强医德医风行为管控。（提供医德医风</w:t>
            </w:r>
            <w:r>
              <w:rPr>
                <w:rFonts w:hint="eastAsia" w:ascii="宋体" w:hAnsi="宋体" w:eastAsia="宋体" w:cs="宋体"/>
                <w:color w:val="000000" w:themeColor="text1"/>
                <w:sz w:val="21"/>
                <w:szCs w:val="21"/>
                <w:lang w:val="en-US" w:eastAsia="zh-CN"/>
                <w14:textFill>
                  <w14:solidFill>
                    <w14:schemeClr w14:val="tx1"/>
                  </w14:solidFill>
                </w14:textFill>
              </w:rPr>
              <w:t>《软件著作权登记证书》</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5"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医院信息管理系统多层结构，提供全方位的三层（应用层、中间层、数据库层）的访问审计，三层关联必需支持自动关联，以提升关联准确度和审计人员追踪索源难度，同时需要支持手动关联，可以直接追踪到前端业务的操作人员IP地址、MAC地址和用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7"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抗菌药物中不少为贵重药品，可能存在药品使用回扣等腐败现象，需预留一定的接口，支持双向对接抗菌药物用量管理系统进行展示，具有抗菌药物用量管理系统《软件著作权登记证书》，支持对指定时间内全院抗菌药物品种、剂型、规格、使用量、使用金额，使用量和使用金额分别排名前N位的抗菌药物品种进行分析，以便医院了解可能存在回扣的药品，提供产品截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6"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支持医院各生产系统中财务数据、病人资料、药品信息、医院资产等核心数据的</w:t>
            </w:r>
            <w:r>
              <w:rPr>
                <w:rFonts w:hint="eastAsia" w:ascii="宋体" w:hAnsi="宋体" w:cs="宋体"/>
                <w:color w:val="000000" w:themeColor="text1"/>
                <w:sz w:val="21"/>
                <w:szCs w:val="21"/>
                <w:lang w:val="en-US" w:eastAsia="zh-CN"/>
                <w14:textFill>
                  <w14:solidFill>
                    <w14:schemeClr w14:val="tx1"/>
                  </w14:solidFill>
                </w14:textFill>
              </w:rPr>
              <w:t>操作</w:t>
            </w:r>
            <w:r>
              <w:rPr>
                <w:rFonts w:hint="eastAsia" w:ascii="宋体" w:hAnsi="宋体" w:eastAsia="宋体" w:cs="宋体"/>
                <w:color w:val="000000" w:themeColor="text1"/>
                <w:sz w:val="21"/>
                <w:szCs w:val="21"/>
                <w14:textFill>
                  <w14:solidFill>
                    <w14:schemeClr w14:val="tx1"/>
                  </w14:solidFill>
                </w14:textFill>
              </w:rPr>
              <w:t>审计监控</w:t>
            </w:r>
            <w:r>
              <w:rPr>
                <w:rFonts w:hint="eastAsia" w:ascii="宋体" w:hAnsi="宋体" w:cs="宋体"/>
                <w:color w:val="000000" w:themeColor="text1"/>
                <w:sz w:val="21"/>
                <w:szCs w:val="21"/>
                <w:lang w:eastAsia="zh-CN"/>
                <w14:textFill>
                  <w14:solidFill>
                    <w14:schemeClr w14:val="tx1"/>
                  </w14:solidFill>
                </w14:textFill>
              </w:rPr>
              <w:t>，该医院内部审计管理模块具有《软件著作权登记证书》</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7"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够出具针对纪委、监察室相关人员使用的审计报告（支持每天或多天生成统方审计报告，报告需简单明了，且具有主动将所有的计算机语言翻译成通俗易懂的自然语言的系统机制，支持将整条SQL语句翻译成中文，帮助医院建立基于内部网络的党风廉政、廉洁警示、院内敏感职权使用的防控专网，支持对接</w:t>
            </w:r>
            <w:r>
              <w:rPr>
                <w:rFonts w:hint="eastAsia" w:ascii="宋体" w:hAnsi="宋体" w:cs="宋体"/>
                <w:color w:val="000000" w:themeColor="text1"/>
                <w:sz w:val="21"/>
                <w:szCs w:val="21"/>
                <w:lang w:val="en-US" w:eastAsia="zh-CN"/>
                <w14:textFill>
                  <w14:solidFill>
                    <w14:schemeClr w14:val="tx1"/>
                  </w14:solidFill>
                </w14:textFill>
              </w:rPr>
              <w:t>清廉医院管理</w:t>
            </w:r>
            <w:r>
              <w:rPr>
                <w:rFonts w:hint="eastAsia" w:ascii="宋体" w:hAnsi="宋体" w:eastAsia="宋体" w:cs="宋体"/>
                <w:color w:val="000000" w:themeColor="text1"/>
                <w:sz w:val="21"/>
                <w:szCs w:val="21"/>
                <w14:textFill>
                  <w14:solidFill>
                    <w14:schemeClr w14:val="tx1"/>
                  </w14:solidFill>
                </w14:textFill>
              </w:rPr>
              <w:t>系统，具有</w:t>
            </w:r>
            <w:r>
              <w:rPr>
                <w:rFonts w:hint="eastAsia" w:ascii="宋体" w:hAnsi="宋体" w:cs="宋体"/>
                <w:color w:val="000000" w:themeColor="text1"/>
                <w:sz w:val="21"/>
                <w:szCs w:val="21"/>
                <w:lang w:val="en-US" w:eastAsia="zh-CN"/>
                <w14:textFill>
                  <w14:solidFill>
                    <w14:schemeClr w14:val="tx1"/>
                  </w14:solidFill>
                </w14:textFill>
              </w:rPr>
              <w:t>清廉医院</w:t>
            </w:r>
            <w:r>
              <w:rPr>
                <w:rFonts w:hint="eastAsia" w:ascii="宋体" w:hAnsi="宋体" w:eastAsia="宋体" w:cs="宋体"/>
                <w:color w:val="000000" w:themeColor="text1"/>
                <w:sz w:val="21"/>
                <w:szCs w:val="21"/>
                <w:lang w:val="en-US" w:eastAsia="zh-CN"/>
                <w14:textFill>
                  <w14:solidFill>
                    <w14:schemeClr w14:val="tx1"/>
                  </w14:solidFill>
                </w14:textFill>
              </w:rPr>
              <w:t>模块</w:t>
            </w:r>
            <w:r>
              <w:rPr>
                <w:rFonts w:hint="eastAsia" w:ascii="宋体" w:hAnsi="宋体" w:eastAsia="宋体" w:cs="宋体"/>
                <w:color w:val="000000" w:themeColor="text1"/>
                <w:sz w:val="21"/>
                <w:szCs w:val="21"/>
                <w14:textFill>
                  <w14:solidFill>
                    <w14:schemeClr w14:val="tx1"/>
                  </w14:solidFill>
                </w14:textFill>
              </w:rPr>
              <w:t>的《软件著作权登记证书》。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▲具备防统方工作闭环管理机制，从个人报备--&gt;三级审核（信息部门、监察部分、院领导），系统可过滤报备过的统方事件--&gt;在统方事件定性后，可对统方事件进行归档，形成最终归档报表</w:t>
            </w:r>
            <w:r>
              <w:rPr>
                <w:rFonts w:hint="eastAsia" w:ascii="宋体" w:hAnsi="宋体" w:eastAsia="宋体" w:cs="宋体"/>
                <w:color w:val="000000" w:themeColor="text1"/>
                <w:sz w:val="21"/>
                <w:szCs w:val="21"/>
                <w:lang w:eastAsia="zh-CN"/>
                <w14:textFill>
                  <w14:solidFill>
                    <w14:schemeClr w14:val="tx1"/>
                  </w14:solidFill>
                </w14:textFill>
              </w:rPr>
              <w:t>，报表能永久保存</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9"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统方白名单权限的设置，可对授权统方行为的操作人员工号、操作类型、IP地址、客户端工具、操作系统用户名、主机名、MAC地址、SQL语句和操作的时间范围等条件进行设置，只有通过了授权和验证才可以获得统方权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3" w:hRule="atLeast"/>
          <w:jc w:val="center"/>
        </w:trPr>
        <w:tc>
          <w:tcPr>
            <w:tcW w:w="90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311"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支持对双向数据包的解析、识别及还原，不仅对请求进行实时监控，而且还可对返回结果进行完整的还原，根据非法统计医嘱\处方行为的特征实时告警。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8"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eastAsia="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3</w:t>
            </w: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r>
              <w:rPr>
                <w:rStyle w:val="7"/>
                <w:rFonts w:hint="eastAsia" w:ascii="宋体" w:hAnsi="宋体" w:eastAsia="宋体" w:cs="宋体"/>
                <w:b/>
                <w:bCs/>
                <w:color w:val="000000" w:themeColor="text1"/>
                <w:kern w:val="0"/>
                <w:sz w:val="21"/>
                <w:szCs w:val="21"/>
                <w14:textFill>
                  <w14:solidFill>
                    <w14:schemeClr w14:val="tx1"/>
                  </w14:solidFill>
                </w14:textFill>
              </w:rPr>
              <w:t>告警模块</w:t>
            </w: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▲可根据用户自定义规则实时发出手机短信通知和邮件提醒等多种方式的告警信息，为了告警的及时性和稳定性，提供防统方专用短信平台模块（非SIM卡插入方式的短信模块，</w:t>
            </w:r>
            <w:r>
              <w:rPr>
                <w:rFonts w:hint="eastAsia" w:ascii="宋体" w:hAnsi="宋体" w:eastAsia="宋体" w:cs="宋体"/>
                <w:color w:val="000000" w:themeColor="text1"/>
                <w:sz w:val="21"/>
                <w:szCs w:val="21"/>
                <w:lang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含</w:t>
            </w:r>
            <w:r>
              <w:rPr>
                <w:rFonts w:hint="eastAsia" w:ascii="宋体" w:hAnsi="宋体" w:eastAsia="宋体" w:cs="宋体"/>
                <w:color w:val="000000" w:themeColor="text1"/>
                <w:sz w:val="21"/>
                <w:szCs w:val="21"/>
                <w:lang w:eastAsia="zh-CN"/>
                <w14:textFill>
                  <w14:solidFill>
                    <w14:schemeClr w14:val="tx1"/>
                  </w14:solidFill>
                </w14:textFill>
              </w:rPr>
              <w:t>所有</w:t>
            </w:r>
            <w:r>
              <w:rPr>
                <w:rFonts w:hint="eastAsia" w:ascii="宋体" w:hAnsi="宋体" w:eastAsia="宋体" w:cs="宋体"/>
                <w:color w:val="000000" w:themeColor="text1"/>
                <w:sz w:val="21"/>
                <w:szCs w:val="21"/>
                <w14:textFill>
                  <w14:solidFill>
                    <w14:schemeClr w14:val="tx1"/>
                  </w14:solidFill>
                </w14:textFill>
              </w:rPr>
              <w:t>短信费用），提供证明材料或厂家承诺函。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8"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4</w:t>
            </w: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kern w:val="0"/>
                <w:sz w:val="21"/>
                <w:szCs w:val="21"/>
                <w:lang w:val="en-US" w:eastAsia="zh-CN"/>
                <w14:textFill>
                  <w14:solidFill>
                    <w14:schemeClr w14:val="tx1"/>
                  </w14:solidFill>
                </w14:textFill>
              </w:rPr>
            </w:pPr>
            <w:r>
              <w:rPr>
                <w:rStyle w:val="7"/>
                <w:rFonts w:hint="eastAsia" w:ascii="宋体" w:hAnsi="宋体" w:cs="宋体"/>
                <w:b/>
                <w:bCs/>
                <w:color w:val="000000" w:themeColor="text1"/>
                <w:kern w:val="0"/>
                <w:sz w:val="21"/>
                <w:szCs w:val="21"/>
                <w:lang w:val="en-US" w:eastAsia="zh-CN"/>
                <w14:textFill>
                  <w14:solidFill>
                    <w14:schemeClr w14:val="tx1"/>
                  </w14:solidFill>
                </w14:textFill>
              </w:rPr>
              <w:t>服务支持</w:t>
            </w:r>
          </w:p>
        </w:tc>
        <w:tc>
          <w:tcPr>
            <w:tcW w:w="58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lang w:val="en-US" w:eastAsia="zh-CN"/>
              </w:rPr>
            </w:pPr>
            <w:r>
              <w:rPr>
                <w:rFonts w:hint="eastAsia"/>
                <w:lang w:eastAsia="zh-CN"/>
              </w:rPr>
              <w:t>供应商需提供</w:t>
            </w:r>
            <w:r>
              <w:rPr>
                <w:rFonts w:hint="eastAsia"/>
                <w:lang w:val="en-US" w:eastAsia="zh-CN"/>
              </w:rPr>
              <w:t>1年7x24小时对原系统的免费维护服务；</w:t>
            </w:r>
          </w:p>
          <w:p>
            <w:pPr>
              <w:keepNext w:val="0"/>
              <w:keepLines w:val="0"/>
              <w:pageBreakBefore w:val="0"/>
              <w:kinsoku/>
              <w:overflowPunct/>
              <w:topLinePunct w:val="0"/>
              <w:autoSpaceDE/>
              <w:autoSpaceDN/>
              <w:bidi w:val="0"/>
              <w:adjustRightInd/>
              <w:snapToGrid/>
              <w:spacing w:line="288" w:lineRule="auto"/>
              <w:ind w:left="218" w:leftChars="104" w:firstLine="0" w:firstLineChars="0"/>
              <w:textAlignment w:val="auto"/>
              <w:rPr>
                <w:rFonts w:hint="eastAsia"/>
                <w:lang w:val="en-US" w:eastAsia="zh-CN"/>
              </w:rPr>
            </w:pPr>
            <w:r>
              <w:rPr>
                <w:rFonts w:hint="eastAsia"/>
                <w:lang w:val="en-US" w:eastAsia="zh-CN"/>
              </w:rPr>
              <w:t>供应商需要自行完成相关设备及软件与医院内网的接入。</w:t>
            </w:r>
          </w:p>
        </w:tc>
      </w:tr>
    </w:tbl>
    <w:p>
      <w:bookmarkStart w:id="0" w:name="_GoBack"/>
      <w:bookmarkEnd w:id="0"/>
    </w:p>
    <w:sectPr>
      <w:pgSz w:w="11906" w:h="16838"/>
      <w:pgMar w:top="850" w:right="180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0313E"/>
    <w:rsid w:val="0DDA79CF"/>
    <w:rsid w:val="5360313E"/>
    <w:rsid w:val="5C450EEE"/>
    <w:rsid w:val="6E6747C0"/>
    <w:rsid w:val="7F902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heme="minorBidi"/>
      <w:kern w:val="2"/>
      <w:sz w:val="21"/>
      <w:lang w:val="en-US" w:eastAsia="zh-CN" w:bidi="ar-SA"/>
    </w:rPr>
  </w:style>
  <w:style w:type="paragraph" w:styleId="2">
    <w:name w:val="heading 1"/>
    <w:basedOn w:val="1"/>
    <w:next w:val="3"/>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First Indent 2"/>
    <w:basedOn w:val="4"/>
    <w:qFormat/>
    <w:uiPriority w:val="0"/>
    <w:pPr>
      <w:ind w:left="0" w:leftChars="0" w:firstLine="200" w:firstLineChars="200"/>
      <w:jc w:val="left"/>
    </w:pPr>
    <w:rPr>
      <w:rFonts w:ascii="宋体" w:hAnsi="宋体"/>
    </w:rPr>
  </w:style>
  <w:style w:type="paragraph" w:styleId="4">
    <w:name w:val="Body Text Indent"/>
    <w:basedOn w:val="1"/>
    <w:qFormat/>
    <w:uiPriority w:val="99"/>
    <w:pPr>
      <w:ind w:firstLine="830" w:firstLineChars="352"/>
    </w:pPr>
    <w:rPr>
      <w:rFonts w:ascii="仿宋_GB2312" w:hAnsi="Calibri" w:eastAsia="仿宋_GB2312"/>
      <w:kern w:val="0"/>
      <w:sz w:val="32"/>
      <w:szCs w:val="20"/>
    </w:rPr>
  </w:style>
  <w:style w:type="character" w:customStyle="1" w:styleId="7">
    <w:name w:val="NormalCharacter"/>
    <w:link w:val="8"/>
    <w:semiHidden/>
    <w:qFormat/>
    <w:uiPriority w:val="0"/>
  </w:style>
  <w:style w:type="paragraph" w:customStyle="1" w:styleId="8">
    <w:name w:val="UserStyle_3"/>
    <w:basedOn w:val="1"/>
    <w:link w:val="7"/>
    <w:qFormat/>
    <w:uiPriority w:val="0"/>
    <w:pPr>
      <w:spacing w:after="16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2021-08-20T01:37:00Z</dcterms:created>
  <dc:creator>LY</dc:creator>
  <cp:lastModifiedBy>钟先生</cp:lastModifiedBy>
  <dcterms:modified xsi:type="dcterms:W3CDTF">2021-08-20T02:04:15Z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DE076724E139476299D905CC1D9E148A</vt:lpwstr>
  </property>
</Properties>
</file>